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1F3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auto"/>
        <w:rPr>
          <w:rFonts w:hint="default" w:ascii="Times New Roman" w:hAnsi="Times New Roman" w:eastAsia="黑体" w:cs="Times New Roman"/>
          <w:i w:val="0"/>
          <w:caps w:val="0"/>
          <w:color w:val="auto"/>
          <w:spacing w:val="0"/>
          <w:sz w:val="32"/>
          <w:szCs w:val="32"/>
          <w:shd w:val="clear" w:color="auto" w:fill="FFFFFF"/>
          <w:lang w:val="en-US" w:eastAsia="zh-CN"/>
        </w:rPr>
      </w:pPr>
      <w:r>
        <w:rPr>
          <w:rFonts w:hint="default" w:ascii="Times New Roman" w:hAnsi="Times New Roman" w:eastAsia="黑体" w:cs="Times New Roman"/>
          <w:i w:val="0"/>
          <w:caps w:val="0"/>
          <w:color w:val="auto"/>
          <w:spacing w:val="0"/>
          <w:sz w:val="32"/>
          <w:szCs w:val="32"/>
          <w:shd w:val="clear" w:color="auto" w:fill="FFFFFF"/>
          <w:lang w:eastAsia="zh-CN"/>
        </w:rPr>
        <w:t>附件</w:t>
      </w:r>
      <w:r>
        <w:rPr>
          <w:rFonts w:hint="default" w:ascii="Times New Roman" w:hAnsi="Times New Roman" w:eastAsia="黑体" w:cs="Times New Roman"/>
          <w:i w:val="0"/>
          <w:caps w:val="0"/>
          <w:color w:val="auto"/>
          <w:spacing w:val="0"/>
          <w:sz w:val="32"/>
          <w:szCs w:val="32"/>
          <w:shd w:val="clear" w:color="auto" w:fill="FFFFFF"/>
          <w:lang w:val="en-US" w:eastAsia="zh-CN"/>
        </w:rPr>
        <w:t>3</w:t>
      </w:r>
    </w:p>
    <w:p w14:paraId="06A5723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pPr>
      <w:r>
        <w:rPr>
          <w:rFonts w:hint="default" w:ascii="Times New Roman" w:hAnsi="Times New Roman" w:eastAsia="方正小标宋简体" w:cs="Times New Roman"/>
          <w:i w:val="0"/>
          <w:caps w:val="0"/>
          <w:color w:val="auto"/>
          <w:spacing w:val="0"/>
          <w:kern w:val="0"/>
          <w:sz w:val="44"/>
          <w:szCs w:val="44"/>
          <w:shd w:val="clear" w:color="auto" w:fill="FFFFFF"/>
          <w:lang w:val="en-US" w:eastAsia="zh-CN" w:bidi="ar"/>
        </w:rPr>
        <w:t>《放射性药品使用许可证》许可条件对照表</w:t>
      </w:r>
    </w:p>
    <w:tbl>
      <w:tblPr>
        <w:tblStyle w:val="8"/>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
        <w:gridCol w:w="2889"/>
        <w:gridCol w:w="3875"/>
        <w:gridCol w:w="3013"/>
        <w:gridCol w:w="3214"/>
      </w:tblGrid>
      <w:tr w14:paraId="41B5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042" w:type="dxa"/>
            <w:noWrap w:val="0"/>
            <w:vAlign w:val="top"/>
          </w:tcPr>
          <w:p w14:paraId="6F95ADC6">
            <w:pPr>
              <w:keepNext w:val="0"/>
              <w:keepLines w:val="0"/>
              <w:pageBreakBefore w:val="0"/>
              <w:widowControl w:val="0"/>
              <w:tabs>
                <w:tab w:val="left" w:pos="705"/>
              </w:tabs>
              <w:kinsoku/>
              <w:wordWrap/>
              <w:overflowPunct/>
              <w:topLinePunct w:val="0"/>
              <w:bidi w:val="0"/>
              <w:spacing w:afterAutospacing="0" w:line="620" w:lineRule="exact"/>
              <w:textAlignment w:val="auto"/>
              <w:rPr>
                <w:rFonts w:hint="default" w:ascii="Times New Roman" w:hAnsi="Times New Roman" w:eastAsia="黑体" w:cs="Times New Roman"/>
              </w:rPr>
            </w:pPr>
            <w:r>
              <w:rPr>
                <w:rFonts w:hint="default" w:ascii="Times New Roman" w:hAnsi="Times New Roman" w:eastAsia="黑体" w:cs="Times New Roman"/>
                <w:sz w:val="20"/>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643890" cy="535940"/>
                      <wp:effectExtent l="3175" t="3810" r="19685" b="12700"/>
                      <wp:wrapNone/>
                      <wp:docPr id="8" name="组合 8"/>
                      <wp:cNvGraphicFramePr/>
                      <a:graphic xmlns:a="http://schemas.openxmlformats.org/drawingml/2006/main">
                        <a:graphicData uri="http://schemas.microsoft.com/office/word/2010/wordprocessingGroup">
                          <wpg:wgp>
                            <wpg:cNvGrpSpPr/>
                            <wpg:grpSpPr>
                              <a:xfrm>
                                <a:off x="0" y="0"/>
                                <a:ext cx="643890" cy="535940"/>
                                <a:chOff x="1337" y="2743"/>
                                <a:chExt cx="1358" cy="607"/>
                              </a:xfrm>
                            </wpg:grpSpPr>
                            <wps:wsp>
                              <wps:cNvPr id="2" name="直接连接符 2"/>
                              <wps:cNvCnPr/>
                              <wps:spPr>
                                <a:xfrm>
                                  <a:off x="1337" y="2743"/>
                                  <a:ext cx="1358" cy="607"/>
                                </a:xfrm>
                                <a:prstGeom prst="line">
                                  <a:avLst/>
                                </a:prstGeom>
                                <a:ln w="6350" cap="flat" cmpd="sng">
                                  <a:solidFill>
                                    <a:srgbClr val="000000"/>
                                  </a:solidFill>
                                  <a:prstDash val="solid"/>
                                  <a:headEnd type="none" w="med" len="med"/>
                                  <a:tailEnd type="none" w="med" len="med"/>
                                </a:ln>
                              </wps:spPr>
                              <wps:bodyPr upright="1"/>
                            </wps:wsp>
                            <wps:wsp>
                              <wps:cNvPr id="3" name="文本框 3"/>
                              <wps:cNvSpPr txBox="1"/>
                              <wps:spPr>
                                <a:xfrm>
                                  <a:off x="2044" y="2776"/>
                                  <a:ext cx="253" cy="263"/>
                                </a:xfrm>
                                <a:prstGeom prst="rect">
                                  <a:avLst/>
                                </a:prstGeom>
                                <a:noFill/>
                                <a:ln>
                                  <a:noFill/>
                                </a:ln>
                              </wps:spPr>
                              <wps:txbx>
                                <w:txbxContent>
                                  <w:p w14:paraId="60B17AFC">
                                    <w:pPr>
                                      <w:snapToGrid w:val="0"/>
                                      <w:rPr>
                                        <w:rFonts w:ascii="Calibri" w:hAnsi="Calibri"/>
                                      </w:rPr>
                                    </w:pPr>
                                    <w:r>
                                      <w:rPr>
                                        <w:rFonts w:hint="eastAsia" w:ascii="Calibri" w:hAnsi="Calibri"/>
                                      </w:rPr>
                                      <w:t>类</w:t>
                                    </w:r>
                                  </w:p>
                                </w:txbxContent>
                              </wps:txbx>
                              <wps:bodyPr lIns="0" tIns="0" rIns="0" bIns="0" upright="1"/>
                            </wps:wsp>
                            <wps:wsp>
                              <wps:cNvPr id="4" name="文本框 4"/>
                              <wps:cNvSpPr txBox="1"/>
                              <wps:spPr>
                                <a:xfrm>
                                  <a:off x="2310" y="2895"/>
                                  <a:ext cx="252" cy="262"/>
                                </a:xfrm>
                                <a:prstGeom prst="rect">
                                  <a:avLst/>
                                </a:prstGeom>
                                <a:noFill/>
                                <a:ln>
                                  <a:noFill/>
                                </a:ln>
                              </wps:spPr>
                              <wps:txbx>
                                <w:txbxContent>
                                  <w:p w14:paraId="42A57148">
                                    <w:pPr>
                                      <w:snapToGrid w:val="0"/>
                                      <w:rPr>
                                        <w:rFonts w:ascii="Calibri" w:hAnsi="Calibri"/>
                                      </w:rPr>
                                    </w:pPr>
                                    <w:r>
                                      <w:rPr>
                                        <w:rFonts w:hint="eastAsia" w:ascii="Calibri" w:hAnsi="Calibri"/>
                                      </w:rPr>
                                      <w:t>别</w:t>
                                    </w:r>
                                  </w:p>
                                </w:txbxContent>
                              </wps:txbx>
                              <wps:bodyPr lIns="0" tIns="0" rIns="0" bIns="0" upright="1"/>
                            </wps:wsp>
                            <wps:wsp>
                              <wps:cNvPr id="6" name="文本框 6"/>
                              <wps:cNvSpPr txBox="1"/>
                              <wps:spPr>
                                <a:xfrm>
                                  <a:off x="1453" y="2965"/>
                                  <a:ext cx="252" cy="263"/>
                                </a:xfrm>
                                <a:prstGeom prst="rect">
                                  <a:avLst/>
                                </a:prstGeom>
                                <a:noFill/>
                                <a:ln>
                                  <a:noFill/>
                                </a:ln>
                              </wps:spPr>
                              <wps:txbx>
                                <w:txbxContent>
                                  <w:p w14:paraId="120AB294">
                                    <w:pPr>
                                      <w:snapToGrid w:val="0"/>
                                      <w:rPr>
                                        <w:rFonts w:ascii="Calibri" w:hAnsi="Calibri"/>
                                      </w:rPr>
                                    </w:pPr>
                                    <w:r>
                                      <w:rPr>
                                        <w:rFonts w:hint="eastAsia" w:ascii="Calibri" w:hAnsi="Calibri"/>
                                      </w:rPr>
                                      <w:t>项</w:t>
                                    </w:r>
                                  </w:p>
                                </w:txbxContent>
                              </wps:txbx>
                              <wps:bodyPr lIns="0" tIns="0" rIns="0" bIns="0" upright="1"/>
                            </wps:wsp>
                            <wps:wsp>
                              <wps:cNvPr id="7" name="文本框 7"/>
                              <wps:cNvSpPr txBox="1"/>
                              <wps:spPr>
                                <a:xfrm>
                                  <a:off x="1675" y="3064"/>
                                  <a:ext cx="252" cy="263"/>
                                </a:xfrm>
                                <a:prstGeom prst="rect">
                                  <a:avLst/>
                                </a:prstGeom>
                                <a:noFill/>
                                <a:ln>
                                  <a:noFill/>
                                </a:ln>
                              </wps:spPr>
                              <wps:txbx>
                                <w:txbxContent>
                                  <w:p w14:paraId="26B32CE2">
                                    <w:pPr>
                                      <w:snapToGrid w:val="0"/>
                                      <w:rPr>
                                        <w:rFonts w:ascii="Calibri" w:hAnsi="Calibri"/>
                                      </w:rPr>
                                    </w:pPr>
                                    <w:r>
                                      <w:rPr>
                                        <w:rFonts w:hint="eastAsia" w:ascii="Calibri" w:hAnsi="Calibri"/>
                                      </w:rPr>
                                      <w:t>目</w:t>
                                    </w:r>
                                  </w:p>
                                </w:txbxContent>
                              </wps:txbx>
                              <wps:bodyPr lIns="0" tIns="0" rIns="0" bIns="0" upright="1"/>
                            </wps:wsp>
                          </wpg:wgp>
                        </a:graphicData>
                      </a:graphic>
                    </wp:anchor>
                  </w:drawing>
                </mc:Choice>
                <mc:Fallback>
                  <w:pict>
                    <v:group id="_x0000_s1026" o:spid="_x0000_s1026" o:spt="203" style="position:absolute;left:0pt;margin-left:-5.15pt;margin-top:0pt;height:42.2pt;width:50.7pt;z-index:251659264;mso-width-relative:page;mso-height-relative:page;" coordorigin="1337,2743" coordsize="1358,607" o:gfxdata="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HPcYJdcAAAAGAQAADwAA&#10;AAAAAAABACAAAAAiAAAAZHJzL2Rvd25yZXYueG1sUEsBAhQAFAAAAAgAh07iQBKJQWc0AwAAYwsA&#10;AA4AAAAAAAAAAQAgAAAAJgEAAGRycy9lMm9Eb2MueG1sUEsFBgAAAAAGAAYAWQEAAMwGAAAAAA==&#10;">
                      <o:lock v:ext="edit" aspectratio="f"/>
                      <v:line id="_x0000_s1026" o:spid="_x0000_s1026" o:spt="20" style="position:absolute;left:1337;top:2743;height:607;width:1358;" filled="f" stroked="t" coordsize="21600,21600" o:gfxdata="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1ZYK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x0000_s1026" o:spid="_x0000_s1026" o:spt="202" type="#_x0000_t202" style="position:absolute;left:2044;top:2776;height:263;width:253;"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60B17AFC">
                              <w:pPr>
                                <w:snapToGrid w:val="0"/>
                                <w:rPr>
                                  <w:rFonts w:ascii="Calibri" w:hAnsi="Calibri"/>
                                </w:rPr>
                              </w:pPr>
                              <w:r>
                                <w:rPr>
                                  <w:rFonts w:hint="eastAsia" w:ascii="Calibri" w:hAnsi="Calibri"/>
                                </w:rPr>
                                <w:t>类</w:t>
                              </w:r>
                            </w:p>
                          </w:txbxContent>
                        </v:textbox>
                      </v:shape>
                      <v:shape id="_x0000_s1026" o:spid="_x0000_s1026" o:spt="202" type="#_x0000_t202" style="position:absolute;left:2310;top:2895;height:262;width:252;"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2A57148">
                              <w:pPr>
                                <w:snapToGrid w:val="0"/>
                                <w:rPr>
                                  <w:rFonts w:ascii="Calibri" w:hAnsi="Calibri"/>
                                </w:rPr>
                              </w:pPr>
                              <w:r>
                                <w:rPr>
                                  <w:rFonts w:hint="eastAsia" w:ascii="Calibri" w:hAnsi="Calibri"/>
                                </w:rPr>
                                <w:t>别</w:t>
                              </w:r>
                            </w:p>
                          </w:txbxContent>
                        </v:textbox>
                      </v:shape>
                      <v:shape id="_x0000_s1026" o:spid="_x0000_s1026" o:spt="202" type="#_x0000_t202" style="position:absolute;left:1453;top:2965;height:263;width:252;"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20AB294">
                              <w:pPr>
                                <w:snapToGrid w:val="0"/>
                                <w:rPr>
                                  <w:rFonts w:ascii="Calibri" w:hAnsi="Calibri"/>
                                </w:rPr>
                              </w:pPr>
                              <w:r>
                                <w:rPr>
                                  <w:rFonts w:hint="eastAsia" w:ascii="Calibri" w:hAnsi="Calibri"/>
                                </w:rPr>
                                <w:t>项</w:t>
                              </w:r>
                            </w:p>
                          </w:txbxContent>
                        </v:textbox>
                      </v:shape>
                      <v:shape id="_x0000_s1026" o:spid="_x0000_s1026" o:spt="202" type="#_x0000_t202" style="position:absolute;left:1675;top:3064;height:263;width:252;"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6B32CE2">
                              <w:pPr>
                                <w:snapToGrid w:val="0"/>
                                <w:rPr>
                                  <w:rFonts w:ascii="Calibri" w:hAnsi="Calibri"/>
                                </w:rPr>
                              </w:pPr>
                              <w:r>
                                <w:rPr>
                                  <w:rFonts w:hint="eastAsia" w:ascii="Calibri" w:hAnsi="Calibri"/>
                                </w:rPr>
                                <w:t>目</w:t>
                              </w:r>
                            </w:p>
                          </w:txbxContent>
                        </v:textbox>
                      </v:shape>
                    </v:group>
                  </w:pict>
                </mc:Fallback>
              </mc:AlternateContent>
            </w:r>
            <w:r>
              <w:rPr>
                <w:rFonts w:hint="default" w:ascii="Times New Roman" w:hAnsi="Times New Roman" w:eastAsia="黑体" w:cs="Times New Roman"/>
              </w:rPr>
              <w:t xml:space="preserve">    </w:t>
            </w:r>
          </w:p>
        </w:tc>
        <w:tc>
          <w:tcPr>
            <w:tcW w:w="2889" w:type="dxa"/>
            <w:noWrap w:val="0"/>
            <w:vAlign w:val="center"/>
          </w:tcPr>
          <w:p w14:paraId="673ED229">
            <w:pPr>
              <w:keepNext w:val="0"/>
              <w:keepLines w:val="0"/>
              <w:pageBreakBefore w:val="0"/>
              <w:widowControl w:val="0"/>
              <w:kinsoku/>
              <w:wordWrap/>
              <w:overflowPunct/>
              <w:topLinePunct w:val="0"/>
              <w:bidi w:val="0"/>
              <w:spacing w:afterAutospacing="0" w:line="620" w:lineRule="exact"/>
              <w:jc w:val="center"/>
              <w:textAlignment w:val="auto"/>
              <w:rPr>
                <w:rFonts w:hint="default" w:ascii="Times New Roman" w:hAnsi="Times New Roman" w:eastAsia="宋体" w:cs="Times New Roman"/>
                <w:lang w:eastAsia="zh-CN"/>
              </w:rPr>
            </w:pPr>
            <w:r>
              <w:rPr>
                <w:rFonts w:hint="default" w:ascii="Times New Roman" w:hAnsi="Times New Roman" w:eastAsia="宋体" w:cs="Times New Roman"/>
              </w:rPr>
              <w:t>第一类</w:t>
            </w:r>
            <w:r>
              <w:rPr>
                <w:rFonts w:hint="default" w:ascii="Times New Roman" w:hAnsi="Times New Roman" w:eastAsia="宋体" w:cs="Times New Roman"/>
                <w:lang w:eastAsia="zh-CN"/>
              </w:rPr>
              <w:t>（取消许可）</w:t>
            </w:r>
          </w:p>
        </w:tc>
        <w:tc>
          <w:tcPr>
            <w:tcW w:w="3875" w:type="dxa"/>
            <w:noWrap w:val="0"/>
            <w:vAlign w:val="center"/>
          </w:tcPr>
          <w:p w14:paraId="744972E2">
            <w:pPr>
              <w:keepNext w:val="0"/>
              <w:keepLines w:val="0"/>
              <w:pageBreakBefore w:val="0"/>
              <w:widowControl w:val="0"/>
              <w:kinsoku/>
              <w:wordWrap/>
              <w:overflowPunct/>
              <w:topLinePunct w:val="0"/>
              <w:bidi w:val="0"/>
              <w:spacing w:afterAutospacing="0" w:line="620" w:lineRule="exact"/>
              <w:jc w:val="center"/>
              <w:textAlignment w:val="auto"/>
              <w:rPr>
                <w:rFonts w:hint="default" w:ascii="Times New Roman" w:hAnsi="Times New Roman" w:eastAsia="宋体" w:cs="Times New Roman"/>
                <w:lang w:eastAsia="zh-CN"/>
              </w:rPr>
            </w:pPr>
            <w:r>
              <w:rPr>
                <w:rFonts w:hint="default" w:ascii="Times New Roman" w:hAnsi="Times New Roman" w:eastAsia="宋体" w:cs="Times New Roman"/>
              </w:rPr>
              <w:t>第二类</w:t>
            </w:r>
            <w:r>
              <w:rPr>
                <w:rFonts w:hint="default" w:ascii="Times New Roman" w:hAnsi="Times New Roman" w:eastAsia="宋体" w:cs="Times New Roman"/>
                <w:lang w:eastAsia="zh-CN"/>
              </w:rPr>
              <w:t>（取消许可）</w:t>
            </w:r>
          </w:p>
        </w:tc>
        <w:tc>
          <w:tcPr>
            <w:tcW w:w="3013" w:type="dxa"/>
            <w:noWrap w:val="0"/>
            <w:vAlign w:val="center"/>
          </w:tcPr>
          <w:p w14:paraId="125A701B">
            <w:pPr>
              <w:keepNext w:val="0"/>
              <w:keepLines w:val="0"/>
              <w:pageBreakBefore w:val="0"/>
              <w:widowControl w:val="0"/>
              <w:kinsoku/>
              <w:wordWrap/>
              <w:overflowPunct/>
              <w:topLinePunct w:val="0"/>
              <w:bidi w:val="0"/>
              <w:spacing w:afterAutospacing="0" w:line="620" w:lineRule="exact"/>
              <w:jc w:val="center"/>
              <w:textAlignment w:val="auto"/>
              <w:rPr>
                <w:rFonts w:hint="default" w:ascii="Times New Roman" w:hAnsi="Times New Roman" w:eastAsia="宋体" w:cs="Times New Roman"/>
              </w:rPr>
            </w:pPr>
            <w:r>
              <w:rPr>
                <w:rFonts w:hint="default" w:ascii="Times New Roman" w:hAnsi="Times New Roman" w:eastAsia="宋体" w:cs="Times New Roman"/>
              </w:rPr>
              <w:t>第三类</w:t>
            </w:r>
          </w:p>
        </w:tc>
        <w:tc>
          <w:tcPr>
            <w:tcW w:w="3214" w:type="dxa"/>
            <w:noWrap w:val="0"/>
            <w:vAlign w:val="center"/>
          </w:tcPr>
          <w:p w14:paraId="3B922C6E">
            <w:pPr>
              <w:keepNext w:val="0"/>
              <w:keepLines w:val="0"/>
              <w:pageBreakBefore w:val="0"/>
              <w:widowControl w:val="0"/>
              <w:kinsoku/>
              <w:wordWrap/>
              <w:overflowPunct/>
              <w:topLinePunct w:val="0"/>
              <w:bidi w:val="0"/>
              <w:spacing w:afterAutospacing="0" w:line="620" w:lineRule="exact"/>
              <w:jc w:val="center"/>
              <w:textAlignment w:val="auto"/>
              <w:rPr>
                <w:rFonts w:hint="default" w:ascii="Times New Roman" w:hAnsi="Times New Roman" w:eastAsia="宋体" w:cs="Times New Roman"/>
              </w:rPr>
            </w:pPr>
            <w:r>
              <w:rPr>
                <w:rFonts w:hint="default" w:ascii="Times New Roman" w:hAnsi="Times New Roman" w:eastAsia="宋体" w:cs="Times New Roman"/>
              </w:rPr>
              <w:t>第四类</w:t>
            </w:r>
          </w:p>
        </w:tc>
      </w:tr>
      <w:tr w14:paraId="28E1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trPr>
        <w:tc>
          <w:tcPr>
            <w:tcW w:w="1042" w:type="dxa"/>
            <w:noWrap w:val="0"/>
            <w:vAlign w:val="center"/>
          </w:tcPr>
          <w:p w14:paraId="48AE4838">
            <w:pPr>
              <w:keepNext w:val="0"/>
              <w:keepLines w:val="0"/>
              <w:pageBreakBefore w:val="0"/>
              <w:widowControl w:val="0"/>
              <w:kinsoku/>
              <w:wordWrap/>
              <w:overflowPunct/>
              <w:topLinePunct w:val="0"/>
              <w:autoSpaceDE/>
              <w:autoSpaceDN/>
              <w:bidi w:val="0"/>
              <w:adjustRightInd/>
              <w:snapToGrid/>
              <w:spacing w:afterAutospacing="0" w:line="40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使</w:t>
            </w:r>
          </w:p>
          <w:p w14:paraId="090DE4A7">
            <w:pPr>
              <w:keepNext w:val="0"/>
              <w:keepLines w:val="0"/>
              <w:pageBreakBefore w:val="0"/>
              <w:widowControl w:val="0"/>
              <w:kinsoku/>
              <w:wordWrap/>
              <w:overflowPunct/>
              <w:topLinePunct w:val="0"/>
              <w:autoSpaceDE/>
              <w:autoSpaceDN/>
              <w:bidi w:val="0"/>
              <w:adjustRightInd/>
              <w:snapToGrid/>
              <w:spacing w:afterAutospacing="0" w:line="40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用</w:t>
            </w:r>
          </w:p>
          <w:p w14:paraId="2659F6C0">
            <w:pPr>
              <w:keepNext w:val="0"/>
              <w:keepLines w:val="0"/>
              <w:pageBreakBefore w:val="0"/>
              <w:widowControl w:val="0"/>
              <w:kinsoku/>
              <w:wordWrap/>
              <w:overflowPunct/>
              <w:topLinePunct w:val="0"/>
              <w:autoSpaceDE/>
              <w:autoSpaceDN/>
              <w:bidi w:val="0"/>
              <w:adjustRightInd/>
              <w:snapToGrid/>
              <w:spacing w:afterAutospacing="0" w:line="40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范</w:t>
            </w:r>
          </w:p>
          <w:p w14:paraId="08BA2847">
            <w:pPr>
              <w:keepNext w:val="0"/>
              <w:keepLines w:val="0"/>
              <w:pageBreakBefore w:val="0"/>
              <w:widowControl w:val="0"/>
              <w:kinsoku/>
              <w:wordWrap/>
              <w:overflowPunct/>
              <w:topLinePunct w:val="0"/>
              <w:autoSpaceDE/>
              <w:autoSpaceDN/>
              <w:bidi w:val="0"/>
              <w:adjustRightInd/>
              <w:snapToGrid/>
              <w:spacing w:afterAutospacing="0" w:line="40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围</w:t>
            </w:r>
          </w:p>
        </w:tc>
        <w:tc>
          <w:tcPr>
            <w:tcW w:w="2889" w:type="dxa"/>
            <w:noWrap w:val="0"/>
            <w:vAlign w:val="top"/>
          </w:tcPr>
          <w:p w14:paraId="61A265C3">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准许使用体外诊断用各种含放射性核素的分析药盒。</w:t>
            </w:r>
          </w:p>
        </w:tc>
        <w:tc>
          <w:tcPr>
            <w:tcW w:w="3875" w:type="dxa"/>
            <w:noWrap w:val="0"/>
            <w:vAlign w:val="top"/>
          </w:tcPr>
          <w:p w14:paraId="6DE0431D">
            <w:pPr>
              <w:keepNext w:val="0"/>
              <w:keepLines w:val="0"/>
              <w:pageBreakBefore w:val="0"/>
              <w:widowControl w:val="0"/>
              <w:tabs>
                <w:tab w:val="left" w:pos="0"/>
                <w:tab w:val="left" w:pos="432"/>
              </w:tabs>
              <w:kinsoku/>
              <w:wordWrap/>
              <w:overflowPunct/>
              <w:topLinePunct w:val="0"/>
              <w:autoSpaceDE/>
              <w:autoSpaceDN/>
              <w:bidi w:val="0"/>
              <w:spacing w:afterAutospacing="0" w:line="280" w:lineRule="exact"/>
              <w:ind w:left="0" w:firstLine="71" w:firstLineChars="34"/>
              <w:textAlignment w:val="auto"/>
              <w:rPr>
                <w:rFonts w:hint="default" w:ascii="Times New Roman" w:hAnsi="Times New Roman" w:cs="Times New Roman"/>
                <w:sz w:val="21"/>
                <w:szCs w:val="21"/>
              </w:rPr>
            </w:pPr>
            <w:r>
              <w:rPr>
                <w:rFonts w:hint="default" w:ascii="Times New Roman" w:hAnsi="Times New Roman" w:cs="Times New Roman"/>
                <w:sz w:val="21"/>
                <w:szCs w:val="21"/>
              </w:rPr>
              <w:t>（1）体内诊断、治疗用一般放射性药品(系指根据诊断、治疗需要，对购入的放射性药品进行简单的稀释或不稀释用于病人的品种。如碘[</w:t>
            </w:r>
            <w:r>
              <w:rPr>
                <w:rFonts w:hint="default" w:ascii="Times New Roman" w:hAnsi="Times New Roman" w:cs="Times New Roman"/>
                <w:sz w:val="21"/>
                <w:szCs w:val="21"/>
                <w:vertAlign w:val="superscript"/>
              </w:rPr>
              <w:t>131</w:t>
            </w:r>
            <w:r>
              <w:rPr>
                <w:rFonts w:hint="default" w:ascii="Times New Roman" w:hAnsi="Times New Roman" w:cs="Times New Roman"/>
                <w:sz w:val="21"/>
                <w:szCs w:val="21"/>
              </w:rPr>
              <w:t>I]化钠口服溶液、邻碘[</w:t>
            </w:r>
            <w:r>
              <w:rPr>
                <w:rFonts w:hint="default" w:ascii="Times New Roman" w:hAnsi="Times New Roman" w:cs="Times New Roman"/>
                <w:sz w:val="21"/>
                <w:szCs w:val="21"/>
                <w:vertAlign w:val="superscript"/>
              </w:rPr>
              <w:t>131</w:t>
            </w:r>
            <w:r>
              <w:rPr>
                <w:rFonts w:hint="default" w:ascii="Times New Roman" w:hAnsi="Times New Roman" w:cs="Times New Roman"/>
                <w:sz w:val="21"/>
                <w:szCs w:val="21"/>
              </w:rPr>
              <w:t>I]马尿酸钠注射液、氯化亚铊[</w:t>
            </w:r>
            <w:r>
              <w:rPr>
                <w:rFonts w:hint="default" w:ascii="Times New Roman" w:hAnsi="Times New Roman" w:cs="Times New Roman"/>
                <w:sz w:val="21"/>
                <w:szCs w:val="21"/>
                <w:vertAlign w:val="superscript"/>
              </w:rPr>
              <w:t>201</w:t>
            </w:r>
            <w:r>
              <w:rPr>
                <w:rFonts w:hint="default" w:ascii="Times New Roman" w:hAnsi="Times New Roman" w:cs="Times New Roman"/>
                <w:sz w:val="21"/>
                <w:szCs w:val="21"/>
              </w:rPr>
              <w:t>T1]注射液等)；</w:t>
            </w:r>
          </w:p>
          <w:p w14:paraId="7600CE2B">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（2）即时标记放射性药品生产企业提供的已配制完成的含锝[</w:t>
            </w:r>
            <w:r>
              <w:rPr>
                <w:rFonts w:hint="default" w:ascii="Times New Roman" w:hAnsi="Times New Roman" w:cs="Times New Roman"/>
                <w:sz w:val="21"/>
                <w:szCs w:val="21"/>
                <w:vertAlign w:val="superscript"/>
              </w:rPr>
              <w:t>99m</w:t>
            </w:r>
            <w:r>
              <w:rPr>
                <w:rFonts w:hint="default" w:ascii="Times New Roman" w:hAnsi="Times New Roman" w:cs="Times New Roman"/>
                <w:sz w:val="21"/>
                <w:szCs w:val="21"/>
              </w:rPr>
              <w:t>Tc]注射液。</w:t>
            </w:r>
          </w:p>
        </w:tc>
        <w:tc>
          <w:tcPr>
            <w:tcW w:w="3013" w:type="dxa"/>
            <w:noWrap w:val="0"/>
            <w:vAlign w:val="top"/>
          </w:tcPr>
          <w:p w14:paraId="697E9A52">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（1）《放射性药品使用许可证》（第二类）规定的放射性药品；</w:t>
            </w:r>
          </w:p>
          <w:p w14:paraId="5B2921C6">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（2）采用放射性核素发生器及配套药盒自行配制的体内诊断及治疗用放射性药品；</w:t>
            </w:r>
          </w:p>
          <w:p w14:paraId="24655355">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（3）采用市售自动合成装置自行制备的正电子类放射性药品。</w:t>
            </w:r>
          </w:p>
        </w:tc>
        <w:tc>
          <w:tcPr>
            <w:tcW w:w="3214" w:type="dxa"/>
            <w:noWrap w:val="0"/>
            <w:vAlign w:val="top"/>
          </w:tcPr>
          <w:p w14:paraId="2B59E340">
            <w:pPr>
              <w:pStyle w:val="4"/>
              <w:keepNext w:val="0"/>
              <w:keepLines w:val="0"/>
              <w:pageBreakBefore w:val="0"/>
              <w:widowControl w:val="0"/>
              <w:kinsoku/>
              <w:wordWrap/>
              <w:overflowPunct/>
              <w:topLinePunct w:val="0"/>
              <w:autoSpaceDE/>
              <w:autoSpaceDN/>
              <w:bidi w:val="0"/>
              <w:spacing w:afterAutospacing="0" w:line="280" w:lineRule="exact"/>
              <w:ind w:lef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（1）《放射性药品使用许可证》（第三类 ）规定的放射性药品；</w:t>
            </w:r>
          </w:p>
          <w:p w14:paraId="1A1539CE">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（2）可研制和使用放射性新制剂以适应核医学诊治新方法、新技术的应用。研制范围仅限国内市场没有或技术条件限制而不能供应的品种。</w:t>
            </w:r>
          </w:p>
        </w:tc>
      </w:tr>
      <w:tr w14:paraId="45E6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042" w:type="dxa"/>
            <w:noWrap w:val="0"/>
            <w:vAlign w:val="center"/>
          </w:tcPr>
          <w:p w14:paraId="3FB0237A">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人</w:t>
            </w:r>
          </w:p>
          <w:p w14:paraId="52BF0784">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p>
          <w:p w14:paraId="29E67918">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p>
          <w:p w14:paraId="136BA06A">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员</w:t>
            </w:r>
          </w:p>
          <w:p w14:paraId="2A944FB5">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p>
        </w:tc>
        <w:tc>
          <w:tcPr>
            <w:tcW w:w="2889" w:type="dxa"/>
            <w:noWrap w:val="0"/>
            <w:vAlign w:val="top"/>
          </w:tcPr>
          <w:p w14:paraId="255D4711">
            <w:pPr>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 具有医学院校毕业或经核医学专业培训半年以上，并获中级以上专业技术职务的人员；</w:t>
            </w:r>
          </w:p>
          <w:p w14:paraId="6A4F60F0">
            <w:pPr>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（2）具有中专以上文化程度或经核医学（放免）专业培训，从事本专业三年以上的技术人员；</w:t>
            </w:r>
          </w:p>
          <w:p w14:paraId="6B6C5DD2">
            <w:pPr>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（3）操作放射性物质的人员应持有卫生行政部门发给的《放射工作人员证》。</w:t>
            </w:r>
          </w:p>
        </w:tc>
        <w:tc>
          <w:tcPr>
            <w:tcW w:w="3875" w:type="dxa"/>
            <w:noWrap w:val="0"/>
            <w:vAlign w:val="top"/>
          </w:tcPr>
          <w:p w14:paraId="47565A4B">
            <w:pPr>
              <w:keepNext w:val="0"/>
              <w:keepLines w:val="0"/>
              <w:pageBreakBefore w:val="0"/>
              <w:widowControl w:val="0"/>
              <w:numPr>
                <w:ilvl w:val="0"/>
                <w:numId w:val="1"/>
              </w:numPr>
              <w:tabs>
                <w:tab w:val="left" w:pos="0"/>
                <w:tab w:val="clear" w:pos="360"/>
              </w:tabs>
              <w:kinsoku/>
              <w:wordWrap/>
              <w:overflowPunct/>
              <w:topLinePunct w:val="0"/>
              <w:autoSpaceDE/>
              <w:autoSpaceDN/>
              <w:bidi w:val="0"/>
              <w:spacing w:afterAutospacing="0" w:line="240" w:lineRule="exact"/>
              <w:ind w:left="360" w:hanging="36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具有取得执业医师资格,经核医学专业培训1年以上，并获中级以上专业技术职务的人员；</w:t>
            </w:r>
          </w:p>
          <w:p w14:paraId="6F123128">
            <w:pPr>
              <w:pStyle w:val="3"/>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从事放射性药品治疗的医疗机构，还必须配备核医学副高级以上专业技术职务的人员;</w:t>
            </w:r>
          </w:p>
          <w:p w14:paraId="095B7213">
            <w:pPr>
              <w:keepNext w:val="0"/>
              <w:keepLines w:val="0"/>
              <w:pageBreakBefore w:val="0"/>
              <w:widowControl w:val="0"/>
              <w:kinsoku/>
              <w:wordWrap/>
              <w:overflowPunct/>
              <w:topLinePunct w:val="0"/>
              <w:autoSpaceDE/>
              <w:autoSpaceDN/>
              <w:bidi w:val="0"/>
              <w:spacing w:afterAutospacing="0" w:line="240" w:lineRule="exact"/>
              <w:ind w:left="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（2）具有中专以上文化程度或经核医学专业培训，从事本专业三年以上的技术人员；</w:t>
            </w:r>
          </w:p>
          <w:p w14:paraId="44007EBD">
            <w:pPr>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（3）操作放射性物质的人员应持有卫生行政部门发给的《放射工作人员证》。</w:t>
            </w:r>
          </w:p>
        </w:tc>
        <w:tc>
          <w:tcPr>
            <w:tcW w:w="3013" w:type="dxa"/>
            <w:noWrap w:val="0"/>
            <w:vAlign w:val="top"/>
          </w:tcPr>
          <w:p w14:paraId="328365C8">
            <w:pPr>
              <w:pStyle w:val="6"/>
              <w:keepNext w:val="0"/>
              <w:keepLines w:val="0"/>
              <w:pageBreakBefore w:val="0"/>
              <w:widowControl w:val="0"/>
              <w:kinsoku/>
              <w:wordWrap/>
              <w:overflowPunct/>
              <w:topLinePunct w:val="0"/>
              <w:autoSpaceDE/>
              <w:autoSpaceDN/>
              <w:bidi w:val="0"/>
              <w:spacing w:afterAutospacing="0" w:line="240" w:lineRule="exact"/>
              <w:ind w:lef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 具有《放射性药品使用许可证》（第二类）规定的人员；</w:t>
            </w:r>
          </w:p>
          <w:p w14:paraId="018AC031">
            <w:pPr>
              <w:pStyle w:val="6"/>
              <w:keepNext w:val="0"/>
              <w:keepLines w:val="0"/>
              <w:pageBreakBefore w:val="0"/>
              <w:widowControl w:val="0"/>
              <w:kinsoku/>
              <w:wordWrap/>
              <w:overflowPunct/>
              <w:topLinePunct w:val="0"/>
              <w:autoSpaceDE/>
              <w:autoSpaceDN/>
              <w:bidi w:val="0"/>
              <w:spacing w:afterAutospacing="0" w:line="240" w:lineRule="exact"/>
              <w:ind w:lef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（2）具有负责放射性药品的配制、质量控制的专职技术人员；</w:t>
            </w:r>
          </w:p>
          <w:p w14:paraId="2934F8AF">
            <w:pPr>
              <w:pStyle w:val="6"/>
              <w:keepNext w:val="0"/>
              <w:keepLines w:val="0"/>
              <w:pageBreakBefore w:val="0"/>
              <w:widowControl w:val="0"/>
              <w:kinsoku/>
              <w:wordWrap/>
              <w:overflowPunct/>
              <w:topLinePunct w:val="0"/>
              <w:autoSpaceDE/>
              <w:autoSpaceDN/>
              <w:bidi w:val="0"/>
              <w:spacing w:afterAutospacing="0" w:line="240" w:lineRule="exact"/>
              <w:ind w:lef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（3）具有掌握核物理或辐射计量专业知识的技术人员。</w:t>
            </w:r>
          </w:p>
          <w:p w14:paraId="64C228BF">
            <w:pPr>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p>
        </w:tc>
        <w:tc>
          <w:tcPr>
            <w:tcW w:w="3214" w:type="dxa"/>
            <w:noWrap w:val="0"/>
            <w:vAlign w:val="top"/>
          </w:tcPr>
          <w:p w14:paraId="51CB08E0">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（1）除具有《放射性药品使用许可证》（第三类）规定的人员外，还应有10年以上核医学临床工作经验的正高级技术职务人员；</w:t>
            </w:r>
          </w:p>
          <w:p w14:paraId="31157639">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（2）具有核医学技术专业高级职务的人员；</w:t>
            </w:r>
          </w:p>
          <w:p w14:paraId="56C644BD">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（3）具有药学、化学等相关专业博士学位的副高级以上专业技术职务的人员；</w:t>
            </w:r>
          </w:p>
          <w:p w14:paraId="24803C55">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（4）具有核物理或生物物理学位、中级专业技术职称以上的核物理或辐射剂量学专业技术人员。</w:t>
            </w:r>
          </w:p>
        </w:tc>
      </w:tr>
      <w:tr w14:paraId="1A05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9" w:hRule="atLeast"/>
        </w:trPr>
        <w:tc>
          <w:tcPr>
            <w:tcW w:w="1042" w:type="dxa"/>
            <w:noWrap w:val="0"/>
            <w:vAlign w:val="center"/>
          </w:tcPr>
          <w:p w14:paraId="3B914A98">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仪</w:t>
            </w:r>
          </w:p>
          <w:p w14:paraId="5AA0EC87">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器</w:t>
            </w:r>
          </w:p>
          <w:p w14:paraId="7CD0373F">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与</w:t>
            </w:r>
          </w:p>
          <w:p w14:paraId="63EC8227">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w:t>
            </w:r>
          </w:p>
          <w:p w14:paraId="3C651EC7">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备</w:t>
            </w:r>
          </w:p>
        </w:tc>
        <w:tc>
          <w:tcPr>
            <w:tcW w:w="2889" w:type="dxa"/>
            <w:noWrap w:val="0"/>
            <w:vAlign w:val="top"/>
          </w:tcPr>
          <w:p w14:paraId="3AAD0D32">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（1）具有表面沾污监测仪、加样器、计数器或液体闪烁计数器、恒温水浴箱、离心机、冰箱等；</w:t>
            </w:r>
          </w:p>
          <w:p w14:paraId="559F7D9D">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（2）具有满足辐射防护要求的储存、操作、废弃物处置等设备；</w:t>
            </w:r>
          </w:p>
          <w:p w14:paraId="7E3474E7">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（3）具有洗刷、清洁等器具和设备。</w:t>
            </w:r>
          </w:p>
          <w:p w14:paraId="6BCCCE94">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bookmarkStart w:id="0" w:name="_GoBack"/>
            <w:bookmarkEnd w:id="0"/>
          </w:p>
        </w:tc>
        <w:tc>
          <w:tcPr>
            <w:tcW w:w="3875" w:type="dxa"/>
            <w:noWrap w:val="0"/>
            <w:vAlign w:val="top"/>
          </w:tcPr>
          <w:p w14:paraId="1818C6AA">
            <w:pPr>
              <w:keepNext w:val="0"/>
              <w:keepLines w:val="0"/>
              <w:pageBreakBefore w:val="0"/>
              <w:widowControl w:val="0"/>
              <w:tabs>
                <w:tab w:val="left" w:pos="72"/>
              </w:tabs>
              <w:kinsoku/>
              <w:wordWrap/>
              <w:overflowPunct/>
              <w:topLinePunct w:val="0"/>
              <w:autoSpaceDE/>
              <w:autoSpaceDN/>
              <w:bidi w:val="0"/>
              <w:adjustRightInd w:val="0"/>
              <w:snapToGrid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 具有表面沾污监测仪;</w:t>
            </w:r>
          </w:p>
          <w:p w14:paraId="6F46D731">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（2）配备满足辐射防护要求的储存、操作、废弃物处置设备；</w:t>
            </w:r>
          </w:p>
          <w:p w14:paraId="49C4A3DA">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（3）开展体内放射性药品诊断:必须配备经标定的活度计(井型电离室)、 功能测定仪(甲功仪或肾图仪)或显像设备(闪烁照相机或单光子发射计算机断层仪)；</w:t>
            </w:r>
          </w:p>
          <w:p w14:paraId="0A4FF27A">
            <w:pPr>
              <w:keepNext w:val="0"/>
              <w:keepLines w:val="0"/>
              <w:pageBreakBefore w:val="0"/>
              <w:widowControl w:val="0"/>
              <w:kinsoku/>
              <w:wordWrap/>
              <w:overflowPunct/>
              <w:topLinePunct w:val="0"/>
              <w:autoSpaceDE/>
              <w:autoSpaceDN/>
              <w:bidi w:val="0"/>
              <w:spacing w:afterAutospacing="0" w:line="28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4</w:t>
            </w:r>
            <w:r>
              <w:rPr>
                <w:rFonts w:hint="default" w:ascii="Times New Roman" w:hAnsi="Times New Roman" w:cs="Times New Roman"/>
                <w:sz w:val="21"/>
                <w:szCs w:val="21"/>
                <w:lang w:eastAsia="zh-CN"/>
              </w:rPr>
              <w:t>）</w:t>
            </w:r>
            <w:r>
              <w:rPr>
                <w:rFonts w:hint="default" w:ascii="Times New Roman" w:hAnsi="Times New Roman" w:cs="Times New Roman"/>
                <w:sz w:val="21"/>
                <w:szCs w:val="21"/>
              </w:rPr>
              <w:t>开展体内放射性药品治疗:必须配备经标定的活度计（井型电离室）、显像设备（闪烁照相机或单光子发射计算机断层仪）；开展甲状腺疾病治疗的必须配备甲功仪。</w:t>
            </w:r>
          </w:p>
        </w:tc>
        <w:tc>
          <w:tcPr>
            <w:tcW w:w="3013" w:type="dxa"/>
            <w:noWrap w:val="0"/>
            <w:vAlign w:val="top"/>
          </w:tcPr>
          <w:p w14:paraId="7746CEF2">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（1）达到《放射性药品使用许可证》（第二类）规定的相应条件；</w:t>
            </w:r>
          </w:p>
          <w:p w14:paraId="5864C0ED">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（2）具有保证无菌操作的净化设备；制备正电子类放射性药品还应具备加速器、自动合成装置、高能正电子成像设备；</w:t>
            </w:r>
          </w:p>
          <w:p w14:paraId="09949E46">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（3）具备储存配套药盒的冷冻或冷藏设备和满足辐射防护要求的存放放射性药品和废弃污物的设备；</w:t>
            </w:r>
          </w:p>
          <w:p w14:paraId="78053FD8">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（4）具备与所用放射性药品质</w:t>
            </w:r>
          </w:p>
          <w:p w14:paraId="451A34CF">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量检测相适应的检验仪器和设备 (如：测定化学纯度的纸色谱分析条件及仪器等)。</w:t>
            </w:r>
          </w:p>
        </w:tc>
        <w:tc>
          <w:tcPr>
            <w:tcW w:w="3214" w:type="dxa"/>
            <w:noWrap w:val="0"/>
            <w:vAlign w:val="top"/>
          </w:tcPr>
          <w:p w14:paraId="62CD976B">
            <w:pPr>
              <w:pStyle w:val="6"/>
              <w:keepNext w:val="0"/>
              <w:keepLines w:val="0"/>
              <w:pageBreakBefore w:val="0"/>
              <w:widowControl w:val="0"/>
              <w:kinsoku/>
              <w:wordWrap/>
              <w:overflowPunct/>
              <w:topLinePunct w:val="0"/>
              <w:autoSpaceDE/>
              <w:autoSpaceDN/>
              <w:bidi w:val="0"/>
              <w:spacing w:afterAutospacing="0" w:line="280" w:lineRule="exact"/>
              <w:ind w:lef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（1）达到《放射性药品使用许可证》（第三类 ）的要求；</w:t>
            </w:r>
          </w:p>
          <w:p w14:paraId="75B4C8B2">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（2）具备与研制放射性制剂相适应的基本仪器和设备。包括药物合成、药物分析、药效学、内辐射吸收剂量等所需实验仪器、净化设备和配制设备等。</w:t>
            </w:r>
          </w:p>
        </w:tc>
      </w:tr>
      <w:tr w14:paraId="6C56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trPr>
        <w:tc>
          <w:tcPr>
            <w:tcW w:w="1042" w:type="dxa"/>
            <w:noWrap w:val="0"/>
            <w:vAlign w:val="center"/>
          </w:tcPr>
          <w:p w14:paraId="24D1D31A">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房</w:t>
            </w:r>
          </w:p>
          <w:p w14:paraId="23C0B0F1">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屋</w:t>
            </w:r>
          </w:p>
          <w:p w14:paraId="5725A8F0">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设</w:t>
            </w:r>
          </w:p>
          <w:p w14:paraId="5527FC5C">
            <w:pPr>
              <w:keepNext w:val="0"/>
              <w:keepLines w:val="0"/>
              <w:pageBreakBefore w:val="0"/>
              <w:widowControl w:val="0"/>
              <w:kinsoku/>
              <w:wordWrap/>
              <w:overflowPunct/>
              <w:topLinePunct w:val="0"/>
              <w:autoSpaceDE/>
              <w:autoSpaceDN/>
              <w:bidi w:val="0"/>
              <w:spacing w:afterAutospacing="0" w:line="620" w:lineRule="exact"/>
              <w:ind w:left="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施</w:t>
            </w:r>
          </w:p>
        </w:tc>
        <w:tc>
          <w:tcPr>
            <w:tcW w:w="2889" w:type="dxa"/>
            <w:noWrap w:val="0"/>
            <w:vAlign w:val="top"/>
          </w:tcPr>
          <w:p w14:paraId="5F9BF7A8">
            <w:pPr>
              <w:keepNext w:val="0"/>
              <w:keepLines w:val="0"/>
              <w:pageBreakBefore w:val="0"/>
              <w:widowControl w:val="0"/>
              <w:kinsoku/>
              <w:wordWrap/>
              <w:overflowPunct/>
              <w:topLinePunct w:val="0"/>
              <w:autoSpaceDE/>
              <w:autoSpaceDN/>
              <w:bidi w:val="0"/>
              <w:adjustRightInd/>
              <w:snapToGrid/>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（1）具备临床检验用的实验室, 并且内墙表面平整、光洁，操作区的地面应易于去污、清洁；</w:t>
            </w:r>
          </w:p>
          <w:p w14:paraId="7792A739">
            <w:pPr>
              <w:keepNext w:val="0"/>
              <w:keepLines w:val="0"/>
              <w:pageBreakBefore w:val="0"/>
              <w:widowControl w:val="0"/>
              <w:kinsoku/>
              <w:wordWrap/>
              <w:overflowPunct/>
              <w:topLinePunct w:val="0"/>
              <w:autoSpaceDE/>
              <w:autoSpaceDN/>
              <w:bidi w:val="0"/>
              <w:adjustRightInd/>
              <w:snapToGrid/>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（2）实验室设通风设施，具有器具洗刷和卫生清洁设施；</w:t>
            </w:r>
          </w:p>
          <w:p w14:paraId="11D669CF">
            <w:pPr>
              <w:keepNext w:val="0"/>
              <w:keepLines w:val="0"/>
              <w:pageBreakBefore w:val="0"/>
              <w:widowControl w:val="0"/>
              <w:kinsoku/>
              <w:wordWrap/>
              <w:overflowPunct/>
              <w:topLinePunct w:val="0"/>
              <w:autoSpaceDE/>
              <w:autoSpaceDN/>
              <w:bidi w:val="0"/>
              <w:adjustRightInd/>
              <w:snapToGrid/>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（3）具备防昆虫和防尘设施；</w:t>
            </w:r>
          </w:p>
          <w:p w14:paraId="54C36125">
            <w:pPr>
              <w:keepNext w:val="0"/>
              <w:keepLines w:val="0"/>
              <w:pageBreakBefore w:val="0"/>
              <w:widowControl w:val="0"/>
              <w:kinsoku/>
              <w:wordWrap/>
              <w:overflowPunct/>
              <w:topLinePunct w:val="0"/>
              <w:autoSpaceDE/>
              <w:autoSpaceDN/>
              <w:bidi w:val="0"/>
              <w:adjustRightInd/>
              <w:snapToGrid/>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（4）具有满足辐射防护要求的存放含放射性核素的分析药盒和废弃污物的设施；</w:t>
            </w:r>
          </w:p>
          <w:p w14:paraId="5756602B">
            <w:pPr>
              <w:keepNext w:val="0"/>
              <w:keepLines w:val="0"/>
              <w:pageBreakBefore w:val="0"/>
              <w:widowControl w:val="0"/>
              <w:kinsoku/>
              <w:wordWrap/>
              <w:overflowPunct/>
              <w:topLinePunct w:val="0"/>
              <w:autoSpaceDE/>
              <w:autoSpaceDN/>
              <w:bidi w:val="0"/>
              <w:adjustRightInd/>
              <w:snapToGrid/>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（5）具有安全防盗设施。</w:t>
            </w:r>
          </w:p>
        </w:tc>
        <w:tc>
          <w:tcPr>
            <w:tcW w:w="3875" w:type="dxa"/>
            <w:noWrap w:val="0"/>
            <w:vAlign w:val="top"/>
          </w:tcPr>
          <w:p w14:paraId="227A7E64">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（1）具有与诊断和治疗相适应的实验室和病房；使用含等效活度1.11GBq以上的碘[</w:t>
            </w:r>
            <w:r>
              <w:rPr>
                <w:rFonts w:hint="default" w:ascii="Times New Roman" w:hAnsi="Times New Roman" w:cs="Times New Roman"/>
                <w:sz w:val="21"/>
                <w:szCs w:val="21"/>
                <w:vertAlign w:val="superscript"/>
              </w:rPr>
              <w:t>131</w:t>
            </w:r>
            <w:r>
              <w:rPr>
                <w:rFonts w:hint="default" w:ascii="Times New Roman" w:hAnsi="Times New Roman" w:cs="Times New Roman"/>
                <w:sz w:val="21"/>
                <w:szCs w:val="21"/>
              </w:rPr>
              <w:t>I]或其它核素放射性药品治疗的医疗机构应有专用病房；</w:t>
            </w:r>
          </w:p>
          <w:p w14:paraId="18EAD67B">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（2）实验室内墙壁表面平整、光洁，操作区的地面应易于去污、清洁；</w:t>
            </w:r>
          </w:p>
          <w:p w14:paraId="147B7319">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（3）实验室内设通风橱；具有放射性药品用具的洗刷和消毒设施等；</w:t>
            </w:r>
          </w:p>
          <w:p w14:paraId="66783661">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（4）具备防昆虫和防尘设施；</w:t>
            </w:r>
          </w:p>
          <w:p w14:paraId="0CDC7BC4">
            <w:pPr>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（5）具有满足辐射防护要求的存放放射性药品和废弃污物的设施；</w:t>
            </w:r>
          </w:p>
          <w:p w14:paraId="265764FA">
            <w:pPr>
              <w:keepNext w:val="0"/>
              <w:keepLines w:val="0"/>
              <w:pageBreakBefore w:val="0"/>
              <w:widowControl w:val="0"/>
              <w:kinsoku/>
              <w:wordWrap/>
              <w:overflowPunct/>
              <w:topLinePunct w:val="0"/>
              <w:autoSpaceDE/>
              <w:autoSpaceDN/>
              <w:bidi w:val="0"/>
              <w:spacing w:afterAutospacing="0" w:line="24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（6）具有安全防盗设施。</w:t>
            </w:r>
          </w:p>
        </w:tc>
        <w:tc>
          <w:tcPr>
            <w:tcW w:w="3013" w:type="dxa"/>
            <w:noWrap w:val="0"/>
            <w:vAlign w:val="top"/>
          </w:tcPr>
          <w:p w14:paraId="795C8DA3">
            <w:pPr>
              <w:keepNext w:val="0"/>
              <w:keepLines w:val="0"/>
              <w:pageBreakBefore w:val="0"/>
              <w:widowControl w:val="0"/>
              <w:tabs>
                <w:tab w:val="left" w:pos="720"/>
              </w:tabs>
              <w:kinsoku/>
              <w:wordWrap/>
              <w:overflowPunct/>
              <w:topLinePunct w:val="0"/>
              <w:autoSpaceDE/>
              <w:autoSpaceDN/>
              <w:bidi w:val="0"/>
              <w:adjustRightInd w:val="0"/>
              <w:snapToGrid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达到《放射性药品使用许可证》（第二类）的要求；制备正电子类放射性药品的还应有相应的制备和放射防护设施。</w:t>
            </w:r>
          </w:p>
          <w:p w14:paraId="7985C2BB">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p>
        </w:tc>
        <w:tc>
          <w:tcPr>
            <w:tcW w:w="3214" w:type="dxa"/>
            <w:noWrap w:val="0"/>
            <w:vAlign w:val="top"/>
          </w:tcPr>
          <w:p w14:paraId="248917D0">
            <w:pPr>
              <w:pStyle w:val="6"/>
              <w:keepNext w:val="0"/>
              <w:keepLines w:val="0"/>
              <w:pageBreakBefore w:val="0"/>
              <w:widowControl w:val="0"/>
              <w:kinsoku/>
              <w:wordWrap/>
              <w:overflowPunct/>
              <w:topLinePunct w:val="0"/>
              <w:autoSpaceDE/>
              <w:autoSpaceDN/>
              <w:bidi w:val="0"/>
              <w:spacing w:afterAutospacing="0" w:line="280" w:lineRule="exact"/>
              <w:ind w:lef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（1）达到《放射性药品使用许可证》(第三类)的要求；</w:t>
            </w:r>
          </w:p>
          <w:p w14:paraId="148E4C05">
            <w:pPr>
              <w:pStyle w:val="6"/>
              <w:keepNext w:val="0"/>
              <w:keepLines w:val="0"/>
              <w:pageBreakBefore w:val="0"/>
              <w:widowControl w:val="0"/>
              <w:kinsoku/>
              <w:wordWrap/>
              <w:overflowPunct/>
              <w:topLinePunct w:val="0"/>
              <w:autoSpaceDE/>
              <w:autoSpaceDN/>
              <w:bidi w:val="0"/>
              <w:spacing w:afterAutospacing="0" w:line="280" w:lineRule="exact"/>
              <w:ind w:left="0" w:firstLine="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(2) 具备与所配制制剂相适应的配制、净化、质检和放射性制剂研制的实验室设施；</w:t>
            </w:r>
          </w:p>
          <w:p w14:paraId="5FA08DF3">
            <w:pPr>
              <w:keepNext w:val="0"/>
              <w:keepLines w:val="0"/>
              <w:pageBreakBefore w:val="0"/>
              <w:widowControl w:val="0"/>
              <w:kinsoku/>
              <w:wordWrap/>
              <w:overflowPunct/>
              <w:topLinePunct w:val="0"/>
              <w:autoSpaceDE/>
              <w:autoSpaceDN/>
              <w:bidi w:val="0"/>
              <w:spacing w:afterAutospacing="0" w:line="280" w:lineRule="exact"/>
              <w:ind w:left="0"/>
              <w:textAlignment w:val="auto"/>
              <w:rPr>
                <w:rFonts w:hint="default" w:ascii="Times New Roman" w:hAnsi="Times New Roman" w:cs="Times New Roman"/>
                <w:sz w:val="21"/>
                <w:szCs w:val="21"/>
              </w:rPr>
            </w:pPr>
            <w:r>
              <w:rPr>
                <w:rFonts w:hint="default" w:ascii="Times New Roman" w:hAnsi="Times New Roman" w:cs="Times New Roman"/>
                <w:sz w:val="21"/>
                <w:szCs w:val="21"/>
              </w:rPr>
              <w:t>（3）具备符合国家规定的动物实验的基本条件和设施。</w:t>
            </w:r>
          </w:p>
        </w:tc>
      </w:tr>
    </w:tbl>
    <w:p w14:paraId="7287E0A1">
      <w:r>
        <w:rPr>
          <w:rFonts w:hint="default" w:ascii="Times New Roman" w:hAnsi="Times New Roman" w:cs="Times New Roman"/>
          <w:i w:val="0"/>
          <w:caps w:val="0"/>
          <w:color w:val="auto"/>
          <w:spacing w:val="0"/>
          <w:sz w:val="21"/>
          <w:szCs w:val="21"/>
          <w:shd w:val="clear" w:color="auto" w:fill="FFFFFF"/>
          <w:lang w:eastAsia="zh-CN"/>
        </w:rPr>
        <w:t>备注：</w:t>
      </w:r>
      <w:r>
        <w:rPr>
          <w:rFonts w:hint="default" w:ascii="Times New Roman" w:hAnsi="Times New Roman" w:cs="Times New Roman"/>
          <w:i w:val="0"/>
          <w:caps w:val="0"/>
          <w:color w:val="auto"/>
          <w:spacing w:val="0"/>
          <w:sz w:val="21"/>
          <w:szCs w:val="21"/>
          <w:shd w:val="clear" w:color="auto" w:fill="FFFFFF"/>
          <w:lang w:val="en-US" w:eastAsia="zh-CN"/>
        </w:rPr>
        <w:t>1.该表来源于《关于开展换发&lt;放射性药品使用许可证&gt;工作的通知》（国食药监安[2003]199号）附件《&lt;放射性药品使用许可证&gt;许可条件对照表》；2.依据《国家药监局综合司关于做好有关改革试点经验推广落实工作的通知》（药监综法函[2025]37号），取消“医疗机构使用放射性药品（一、二类）许可”。</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F5B50"/>
    <w:multiLevelType w:val="multilevel"/>
    <w:tmpl w:val="2FCF5B5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A2FAA"/>
    <w:rsid w:val="4A2A2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qFormat="1" w:unhideWhenUsed="0" w:uiPriority="1624"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next w:val="1"/>
    <w:unhideWhenUsed/>
    <w:qFormat/>
    <w:uiPriority w:val="0"/>
    <w:pPr>
      <w:widowControl w:val="0"/>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qFormat/>
    <w:uiPriority w:val="1624"/>
    <w:pPr>
      <w:widowControl w:val="0"/>
      <w:tabs>
        <w:tab w:val="center" w:pos="612"/>
      </w:tabs>
      <w:spacing w:line="360" w:lineRule="exact"/>
      <w:ind w:firstLine="420" w:firstLineChars="200"/>
      <w:jc w:val="left"/>
    </w:pPr>
    <w:rPr>
      <w:rFonts w:ascii="宋体" w:hAnsi="宋体" w:eastAsia="宋体" w:cs="Times New Roman"/>
      <w:kern w:val="2"/>
      <w:sz w:val="21"/>
      <w:szCs w:val="24"/>
      <w:lang w:val="en-US" w:eastAsia="zh-CN" w:bidi="ar-SA"/>
    </w:rPr>
  </w:style>
  <w:style w:type="paragraph" w:styleId="4">
    <w:name w:val="Body Text Indent 2"/>
    <w:qFormat/>
    <w:uiPriority w:val="1624"/>
    <w:pPr>
      <w:widowControl w:val="0"/>
      <w:tabs>
        <w:tab w:val="left" w:pos="720"/>
      </w:tabs>
      <w:adjustRightInd w:val="0"/>
      <w:snapToGrid w:val="0"/>
      <w:spacing w:line="360" w:lineRule="auto"/>
      <w:ind w:firstLine="480"/>
      <w:jc w:val="both"/>
    </w:pPr>
    <w:rPr>
      <w:rFonts w:ascii="Calibri" w:hAnsi="Calibri" w:eastAsia="仿宋_GB2312" w:cs="Times New Roman"/>
      <w:kern w:val="2"/>
      <w:sz w:val="24"/>
      <w:szCs w:val="20"/>
      <w:lang w:val="en-US" w:eastAsia="zh-CN" w:bidi="ar-SA"/>
    </w:rPr>
  </w:style>
  <w:style w:type="paragraph" w:styleId="5">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Body Text Indent 3"/>
    <w:qFormat/>
    <w:uiPriority w:val="1624"/>
    <w:pPr>
      <w:widowControl w:val="0"/>
      <w:tabs>
        <w:tab w:val="left" w:pos="720"/>
      </w:tabs>
      <w:adjustRightInd w:val="0"/>
      <w:snapToGrid w:val="0"/>
      <w:spacing w:line="360" w:lineRule="auto"/>
      <w:ind w:firstLine="540"/>
      <w:jc w:val="both"/>
    </w:pPr>
    <w:rPr>
      <w:rFonts w:ascii="Calibri" w:hAnsi="Calibri" w:eastAsia="仿宋_GB2312" w:cs="Times New Roman"/>
      <w:kern w:val="2"/>
      <w:sz w:val="24"/>
      <w:szCs w:val="20"/>
      <w:lang w:val="en-US" w:eastAsia="zh-CN" w:bidi="ar-SA"/>
    </w:rPr>
  </w:style>
  <w:style w:type="paragraph" w:styleId="7">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2025-06-11T07:19:00Z</dcterms:created>
  <dc:creator>杨思明</dc:creator>
  <cp:lastModifiedBy>杨思明</cp:lastModifiedBy>
  <dcterms:modified xsi:type="dcterms:W3CDTF">2025-06-11T07:19:31Z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C169EDAD27774387BE59E5686B01CBC5_11</vt:lpwstr>
  </property>
  <property fmtid="{D5CDD505-2E9C-101B-9397-08002B2CF9AE}" pid="4" name="KSOTemplateDocerSaveRecord">
    <vt:lpwstr>eyJoZGlkIjoiNmZhOTFiMjUyM2Q1NjQ0Yjk2YjJjZDczMWI5N2Y4ZDIiLCJ1c2VySWQiOiI1NTU4MTkyOTcifQ==</vt:lpwstr>
  </property>
</Properties>
</file>