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42FF8">
      <w:pPr>
        <w:keepNext w:val="0"/>
        <w:keepLines w:val="0"/>
        <w:pageBreakBefore w:val="0"/>
        <w:widowControl w:val="0"/>
        <w:kinsoku/>
        <w:wordWrap/>
        <w:overflowPunct/>
        <w:topLinePunct w:val="0"/>
        <w:autoSpaceDE w:val="0"/>
        <w:autoSpaceDN w:val="0"/>
        <w:bidi w:val="0"/>
        <w:adjustRightInd/>
        <w:snapToGrid/>
        <w:spacing w:beforeLines="0" w:afterLines="0" w:line="620" w:lineRule="exact"/>
        <w:textAlignment w:val="auto"/>
        <w:rPr>
          <w:rFonts w:hint="eastAsia" w:ascii="黑体" w:hAnsi="黑体" w:eastAsia="黑体" w:cs="黑体"/>
          <w:bCs/>
          <w:color w:val="000000"/>
          <w:kern w:val="0"/>
          <w:sz w:val="32"/>
          <w:szCs w:val="32"/>
          <w:highlight w:val="none"/>
          <w:lang w:val="en-US" w:eastAsia="zh-CN"/>
        </w:rPr>
      </w:pPr>
      <w:r>
        <w:rPr>
          <w:rFonts w:hint="eastAsia" w:ascii="黑体" w:hAnsi="黑体" w:eastAsia="黑体" w:cs="黑体"/>
          <w:bCs/>
          <w:color w:val="000000"/>
          <w:kern w:val="0"/>
          <w:sz w:val="32"/>
          <w:szCs w:val="32"/>
          <w:highlight w:val="none"/>
          <w:lang w:val="en-US" w:eastAsia="zh-CN"/>
        </w:rPr>
        <w:t>附件</w:t>
      </w:r>
      <w:r>
        <w:rPr>
          <w:rFonts w:hint="default" w:ascii="黑体" w:hAnsi="黑体" w:eastAsia="黑体" w:cs="黑体"/>
          <w:bCs/>
          <w:color w:val="000000"/>
          <w:kern w:val="0"/>
          <w:sz w:val="32"/>
          <w:szCs w:val="32"/>
          <w:highlight w:val="none"/>
          <w:lang w:val="en-US" w:eastAsia="zh-CN"/>
        </w:rPr>
        <w:t>3</w:t>
      </w:r>
    </w:p>
    <w:p w14:paraId="535936D7">
      <w:pPr>
        <w:spacing w:beforeLines="0" w:afterLines="0" w:line="620" w:lineRule="exact"/>
        <w:jc w:val="center"/>
        <w:rPr>
          <w:rFonts w:hint="default" w:ascii="Times New Roman" w:hAnsi="Times New Roman" w:eastAsia="方正小标宋简体" w:cs="Times New Roman"/>
          <w:bCs/>
          <w:color w:val="000000"/>
          <w:kern w:val="0"/>
          <w:sz w:val="36"/>
          <w:szCs w:val="36"/>
          <w:highlight w:val="none"/>
        </w:rPr>
      </w:pPr>
      <w:r>
        <w:rPr>
          <w:rFonts w:hint="default" w:ascii="Times New Roman" w:hAnsi="Times New Roman" w:eastAsia="方正小标宋简体" w:cs="Times New Roman"/>
          <w:bCs/>
          <w:color w:val="000000"/>
          <w:kern w:val="0"/>
          <w:sz w:val="36"/>
          <w:szCs w:val="36"/>
          <w:highlight w:val="none"/>
        </w:rPr>
        <w:t>麻醉药品和第一类精神药品区域性批发企业验收标准</w:t>
      </w:r>
    </w:p>
    <w:p w14:paraId="308F6838">
      <w:pPr>
        <w:spacing w:beforeLines="0" w:afterLines="0" w:line="620" w:lineRule="exact"/>
        <w:ind w:firstLine="600" w:firstLineChars="200"/>
        <w:jc w:val="left"/>
        <w:rPr>
          <w:rFonts w:hint="default" w:ascii="Times New Roman" w:hAnsi="Times New Roman" w:eastAsia="仿宋_GB2312" w:cs="Times New Roman"/>
          <w:color w:val="000000"/>
          <w:kern w:val="0"/>
          <w:sz w:val="30"/>
          <w:szCs w:val="30"/>
          <w:highlight w:val="none"/>
        </w:rPr>
      </w:pPr>
    </w:p>
    <w:p w14:paraId="583C87BB">
      <w:pPr>
        <w:spacing w:beforeLines="0" w:afterLines="0" w:line="620" w:lineRule="exact"/>
        <w:ind w:firstLine="600" w:firstLineChars="200"/>
        <w:jc w:val="left"/>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1</w:t>
      </w:r>
      <w:r>
        <w:rPr>
          <w:rFonts w:hint="eastAsia" w:ascii="Times New Roman" w:hAnsi="Times New Roman" w:eastAsia="仿宋_GB2312" w:cs="Times New Roman"/>
          <w:color w:val="000000"/>
          <w:kern w:val="0"/>
          <w:sz w:val="30"/>
          <w:szCs w:val="30"/>
          <w:highlight w:val="none"/>
          <w:lang w:val="en-US" w:eastAsia="zh-CN"/>
        </w:rPr>
        <w:t>.</w:t>
      </w:r>
      <w:r>
        <w:rPr>
          <w:rFonts w:hint="default" w:ascii="Times New Roman" w:hAnsi="Times New Roman" w:eastAsia="仿宋_GB2312" w:cs="Times New Roman"/>
          <w:color w:val="000000"/>
          <w:kern w:val="0"/>
          <w:sz w:val="30"/>
          <w:szCs w:val="30"/>
          <w:highlight w:val="none"/>
          <w:lang w:val="en" w:eastAsia="zh-CN"/>
        </w:rPr>
        <w:t xml:space="preserve"> </w:t>
      </w:r>
      <w:r>
        <w:rPr>
          <w:rFonts w:hint="default" w:ascii="Times New Roman" w:hAnsi="Times New Roman" w:eastAsia="仿宋_GB2312" w:cs="Times New Roman"/>
          <w:color w:val="000000"/>
          <w:kern w:val="0"/>
          <w:sz w:val="30"/>
          <w:szCs w:val="30"/>
          <w:highlight w:val="none"/>
        </w:rPr>
        <w:t>区域性批发企业验收检查项目共29项，其中关键项目14项（条款号前加“*”），一般项目15项。关键项目如不合格则称为严重缺陷，一般项目如不合格则称为一般缺陷。</w:t>
      </w:r>
    </w:p>
    <w:p w14:paraId="55011A80">
      <w:pPr>
        <w:spacing w:beforeLines="0" w:afterLines="0" w:line="620" w:lineRule="exact"/>
        <w:ind w:firstLine="600" w:firstLineChars="200"/>
        <w:jc w:val="left"/>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2</w:t>
      </w:r>
      <w:r>
        <w:rPr>
          <w:rFonts w:hint="default" w:ascii="Times New Roman" w:hAnsi="Times New Roman" w:eastAsia="仿宋_GB2312" w:cs="Times New Roman"/>
          <w:color w:val="000000"/>
          <w:kern w:val="0"/>
          <w:sz w:val="30"/>
          <w:szCs w:val="30"/>
          <w:highlight w:val="none"/>
          <w:lang w:val="en"/>
        </w:rPr>
        <w:t xml:space="preserve">. </w:t>
      </w:r>
      <w:r>
        <w:rPr>
          <w:rFonts w:hint="default" w:ascii="Times New Roman" w:hAnsi="Times New Roman" w:eastAsia="仿宋_GB2312" w:cs="Times New Roman"/>
          <w:color w:val="000000"/>
          <w:kern w:val="0"/>
          <w:sz w:val="30"/>
          <w:szCs w:val="30"/>
          <w:highlight w:val="none"/>
        </w:rPr>
        <w:t>结果评定</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7"/>
        <w:gridCol w:w="2700"/>
        <w:gridCol w:w="3238"/>
      </w:tblGrid>
      <w:tr w14:paraId="3D06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jc w:val="center"/>
        </w:trPr>
        <w:tc>
          <w:tcPr>
            <w:tcW w:w="5567" w:type="dxa"/>
            <w:gridSpan w:val="2"/>
            <w:tcBorders>
              <w:top w:val="single" w:color="auto" w:sz="4" w:space="0"/>
              <w:left w:val="single" w:color="auto" w:sz="4" w:space="0"/>
              <w:bottom w:val="single" w:color="auto" w:sz="4" w:space="0"/>
              <w:right w:val="single" w:color="auto" w:sz="4" w:space="0"/>
            </w:tcBorders>
            <w:noWrap w:val="0"/>
            <w:vAlign w:val="center"/>
          </w:tcPr>
          <w:p w14:paraId="519D1AC6">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项目</w:t>
            </w:r>
          </w:p>
        </w:tc>
        <w:tc>
          <w:tcPr>
            <w:tcW w:w="3238" w:type="dxa"/>
            <w:tcBorders>
              <w:top w:val="single" w:color="auto" w:sz="4" w:space="0"/>
              <w:left w:val="single" w:color="auto" w:sz="4" w:space="0"/>
              <w:bottom w:val="single" w:color="auto" w:sz="4" w:space="0"/>
              <w:right w:val="single" w:color="auto" w:sz="4" w:space="0"/>
            </w:tcBorders>
            <w:noWrap w:val="0"/>
            <w:vAlign w:val="center"/>
          </w:tcPr>
          <w:p w14:paraId="31F44D80">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结果</w:t>
            </w:r>
          </w:p>
        </w:tc>
      </w:tr>
      <w:tr w14:paraId="4913B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67" w:type="dxa"/>
            <w:tcBorders>
              <w:top w:val="single" w:color="auto" w:sz="4" w:space="0"/>
              <w:left w:val="single" w:color="auto" w:sz="4" w:space="0"/>
              <w:bottom w:val="single" w:color="auto" w:sz="4" w:space="0"/>
              <w:right w:val="single" w:color="auto" w:sz="4" w:space="0"/>
            </w:tcBorders>
            <w:noWrap w:val="0"/>
            <w:vAlign w:val="center"/>
          </w:tcPr>
          <w:p w14:paraId="61E9E9F6">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严重缺陷</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7D74CE8">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一般缺陷</w:t>
            </w:r>
          </w:p>
        </w:tc>
        <w:tc>
          <w:tcPr>
            <w:tcW w:w="3238" w:type="dxa"/>
            <w:vMerge w:val="restart"/>
            <w:tcBorders>
              <w:top w:val="single" w:color="auto" w:sz="4" w:space="0"/>
              <w:left w:val="single" w:color="auto" w:sz="4" w:space="0"/>
              <w:bottom w:val="single" w:color="auto" w:sz="4" w:space="0"/>
              <w:right w:val="single" w:color="auto" w:sz="4" w:space="0"/>
            </w:tcBorders>
            <w:noWrap w:val="0"/>
            <w:vAlign w:val="center"/>
          </w:tcPr>
          <w:p w14:paraId="63129ED1">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通过验收</w:t>
            </w:r>
          </w:p>
        </w:tc>
      </w:tr>
      <w:tr w14:paraId="4CA79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67" w:type="dxa"/>
            <w:tcBorders>
              <w:top w:val="single" w:color="auto" w:sz="4" w:space="0"/>
              <w:left w:val="single" w:color="auto" w:sz="4" w:space="0"/>
              <w:bottom w:val="single" w:color="auto" w:sz="4" w:space="0"/>
              <w:right w:val="single" w:color="auto" w:sz="4" w:space="0"/>
            </w:tcBorders>
            <w:noWrap w:val="0"/>
            <w:vAlign w:val="center"/>
          </w:tcPr>
          <w:p w14:paraId="6C67E179">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0</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350D391">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≤3</w:t>
            </w:r>
          </w:p>
        </w:tc>
        <w:tc>
          <w:tcPr>
            <w:tcW w:w="3238" w:type="dxa"/>
            <w:vMerge w:val="continue"/>
            <w:tcBorders>
              <w:top w:val="single" w:color="auto" w:sz="4" w:space="0"/>
              <w:left w:val="single" w:color="auto" w:sz="4" w:space="0"/>
              <w:bottom w:val="single" w:color="auto" w:sz="4" w:space="0"/>
              <w:right w:val="single" w:color="auto" w:sz="4" w:space="0"/>
            </w:tcBorders>
            <w:noWrap w:val="0"/>
            <w:vAlign w:val="center"/>
          </w:tcPr>
          <w:p w14:paraId="6A38689F">
            <w:pPr>
              <w:spacing w:beforeLines="0" w:afterLines="0" w:line="620" w:lineRule="exact"/>
              <w:jc w:val="left"/>
              <w:rPr>
                <w:rFonts w:hint="default" w:ascii="Times New Roman" w:hAnsi="Times New Roman" w:cs="Times New Roman"/>
                <w:color w:val="000000"/>
                <w:kern w:val="0"/>
                <w:sz w:val="24"/>
                <w:szCs w:val="22"/>
                <w:highlight w:val="none"/>
              </w:rPr>
            </w:pPr>
          </w:p>
        </w:tc>
      </w:tr>
      <w:tr w14:paraId="1837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867" w:type="dxa"/>
            <w:tcBorders>
              <w:top w:val="single" w:color="auto" w:sz="4" w:space="0"/>
              <w:left w:val="single" w:color="auto" w:sz="4" w:space="0"/>
              <w:bottom w:val="single" w:color="auto" w:sz="4" w:space="0"/>
              <w:right w:val="single" w:color="auto" w:sz="4" w:space="0"/>
            </w:tcBorders>
            <w:noWrap w:val="0"/>
            <w:vAlign w:val="center"/>
          </w:tcPr>
          <w:p w14:paraId="213B821B">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≥1</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F7B3FB8">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0</w:t>
            </w:r>
          </w:p>
        </w:tc>
        <w:tc>
          <w:tcPr>
            <w:tcW w:w="3238" w:type="dxa"/>
            <w:vMerge w:val="restart"/>
            <w:tcBorders>
              <w:top w:val="single" w:color="auto" w:sz="4" w:space="0"/>
              <w:left w:val="single" w:color="auto" w:sz="4" w:space="0"/>
              <w:bottom w:val="single" w:color="auto" w:sz="4" w:space="0"/>
              <w:right w:val="single" w:color="auto" w:sz="4" w:space="0"/>
            </w:tcBorders>
            <w:noWrap w:val="0"/>
            <w:vAlign w:val="center"/>
          </w:tcPr>
          <w:p w14:paraId="129C6ED6">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不通过验收</w:t>
            </w:r>
          </w:p>
        </w:tc>
      </w:tr>
      <w:tr w14:paraId="7DB9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867" w:type="dxa"/>
            <w:tcBorders>
              <w:top w:val="single" w:color="auto" w:sz="4" w:space="0"/>
              <w:left w:val="single" w:color="auto" w:sz="4" w:space="0"/>
              <w:bottom w:val="single" w:color="auto" w:sz="4" w:space="0"/>
              <w:right w:val="single" w:color="auto" w:sz="4" w:space="0"/>
            </w:tcBorders>
            <w:noWrap w:val="0"/>
            <w:vAlign w:val="center"/>
          </w:tcPr>
          <w:p w14:paraId="41363BF5">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0</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0E83FF84">
            <w:pPr>
              <w:spacing w:beforeLines="0" w:afterLines="0" w:line="620" w:lineRule="exact"/>
              <w:jc w:val="center"/>
              <w:rPr>
                <w:rFonts w:hint="default" w:ascii="Times New Roman" w:hAnsi="Times New Roman" w:cs="Times New Roman"/>
                <w:color w:val="000000"/>
                <w:kern w:val="0"/>
                <w:sz w:val="24"/>
                <w:szCs w:val="22"/>
                <w:highlight w:val="none"/>
              </w:rPr>
            </w:pPr>
            <w:r>
              <w:rPr>
                <w:rFonts w:hint="default" w:ascii="Times New Roman" w:hAnsi="Times New Roman" w:eastAsia="仿宋_GB2312" w:cs="Times New Roman"/>
                <w:color w:val="000000"/>
                <w:kern w:val="0"/>
                <w:sz w:val="24"/>
                <w:szCs w:val="22"/>
                <w:highlight w:val="none"/>
              </w:rPr>
              <w:t>＞3</w:t>
            </w:r>
          </w:p>
        </w:tc>
        <w:tc>
          <w:tcPr>
            <w:tcW w:w="3238" w:type="dxa"/>
            <w:vMerge w:val="continue"/>
            <w:tcBorders>
              <w:top w:val="single" w:color="auto" w:sz="4" w:space="0"/>
              <w:left w:val="single" w:color="auto" w:sz="4" w:space="0"/>
              <w:bottom w:val="single" w:color="auto" w:sz="4" w:space="0"/>
              <w:right w:val="single" w:color="auto" w:sz="4" w:space="0"/>
            </w:tcBorders>
            <w:noWrap w:val="0"/>
            <w:vAlign w:val="center"/>
          </w:tcPr>
          <w:p w14:paraId="27C394F0">
            <w:pPr>
              <w:spacing w:beforeLines="0" w:afterLines="0" w:line="620" w:lineRule="exact"/>
              <w:jc w:val="left"/>
              <w:rPr>
                <w:rFonts w:hint="default" w:ascii="Times New Roman" w:hAnsi="Times New Roman" w:cs="Times New Roman"/>
                <w:color w:val="000000"/>
                <w:kern w:val="0"/>
                <w:sz w:val="24"/>
                <w:szCs w:val="22"/>
                <w:highlight w:val="none"/>
              </w:rPr>
            </w:pPr>
          </w:p>
        </w:tc>
      </w:tr>
    </w:tbl>
    <w:p w14:paraId="405BC248">
      <w:pPr>
        <w:spacing w:beforeLines="0" w:afterLines="0" w:line="620" w:lineRule="exact"/>
        <w:ind w:firstLine="600" w:firstLineChars="200"/>
        <w:jc w:val="left"/>
        <w:rPr>
          <w:rFonts w:hint="default" w:ascii="Times New Roman" w:hAnsi="Times New Roman" w:eastAsia="仿宋_GB2312" w:cs="Times New Roman"/>
          <w:color w:val="000000"/>
          <w:kern w:val="0"/>
          <w:sz w:val="30"/>
          <w:szCs w:val="30"/>
          <w:highlight w:val="none"/>
        </w:rPr>
      </w:pPr>
      <w:r>
        <w:rPr>
          <w:rFonts w:hint="default" w:ascii="Times New Roman" w:hAnsi="Times New Roman" w:eastAsia="仿宋_GB2312" w:cs="Times New Roman"/>
          <w:color w:val="000000"/>
          <w:kern w:val="0"/>
          <w:sz w:val="30"/>
          <w:szCs w:val="30"/>
          <w:highlight w:val="none"/>
        </w:rPr>
        <w:t>3</w:t>
      </w:r>
      <w:r>
        <w:rPr>
          <w:rFonts w:hint="default" w:ascii="Times New Roman" w:hAnsi="Times New Roman" w:eastAsia="仿宋_GB2312" w:cs="Times New Roman"/>
          <w:color w:val="000000"/>
          <w:kern w:val="0"/>
          <w:sz w:val="30"/>
          <w:szCs w:val="30"/>
          <w:highlight w:val="none"/>
          <w:lang w:val="en"/>
        </w:rPr>
        <w:t xml:space="preserve">. </w:t>
      </w:r>
      <w:r>
        <w:rPr>
          <w:rFonts w:hint="default" w:ascii="Times New Roman" w:hAnsi="Times New Roman" w:eastAsia="仿宋_GB2312" w:cs="Times New Roman"/>
          <w:color w:val="000000"/>
          <w:kern w:val="0"/>
          <w:sz w:val="30"/>
          <w:szCs w:val="30"/>
          <w:highlight w:val="none"/>
        </w:rPr>
        <w:t>验收检查项目</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7852"/>
      </w:tblGrid>
      <w:tr w14:paraId="084B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12" w:type="dxa"/>
            <w:gridSpan w:val="2"/>
            <w:tcBorders>
              <w:top w:val="single" w:color="auto" w:sz="4" w:space="0"/>
              <w:left w:val="single" w:color="auto" w:sz="4" w:space="0"/>
              <w:bottom w:val="single" w:color="auto" w:sz="4" w:space="0"/>
              <w:right w:val="single" w:color="auto" w:sz="4" w:space="0"/>
            </w:tcBorders>
            <w:noWrap w:val="0"/>
            <w:vAlign w:val="center"/>
          </w:tcPr>
          <w:p w14:paraId="0F1773D3">
            <w:pPr>
              <w:spacing w:beforeLines="0" w:afterLines="0" w:line="620" w:lineRule="exact"/>
              <w:ind w:left="0" w:right="0"/>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kern w:val="0"/>
                <w:sz w:val="28"/>
                <w:szCs w:val="28"/>
                <w:highlight w:val="none"/>
              </w:rPr>
              <w:t>一、机构与人员</w:t>
            </w:r>
          </w:p>
        </w:tc>
      </w:tr>
      <w:tr w14:paraId="5325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6B48C7F5">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*101</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0462513D">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企业法定代表人为麻醉药品和第一类精神药品安全管理第一责任人。</w:t>
            </w:r>
          </w:p>
        </w:tc>
      </w:tr>
      <w:tr w14:paraId="5982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3E68A390">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*102</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0DB7720D">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企业应建立以主要负责人为首的独立麻醉药品和第一类精神药品经营管理机构，并明确相关岗位和人员职责。</w:t>
            </w:r>
          </w:p>
        </w:tc>
      </w:tr>
      <w:tr w14:paraId="59FB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6756CE40">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*103</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0D92C6EE">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企业及其工作人员近</w:t>
            </w:r>
            <w:r>
              <w:rPr>
                <w:rFonts w:hint="eastAsia" w:ascii="仿宋_GB2312" w:hAnsi="仿宋_GB2312" w:eastAsia="仿宋_GB2312" w:cs="仿宋_GB2312"/>
                <w:color w:val="000000"/>
                <w:kern w:val="0"/>
                <w:sz w:val="24"/>
                <w:szCs w:val="22"/>
                <w:highlight w:val="none"/>
                <w:lang w:val="en-US" w:eastAsia="zh-CN"/>
              </w:rPr>
              <w:t>2</w:t>
            </w:r>
            <w:r>
              <w:rPr>
                <w:rFonts w:hint="eastAsia" w:ascii="仿宋_GB2312" w:hAnsi="仿宋_GB2312" w:eastAsia="仿宋_GB2312" w:cs="仿宋_GB2312"/>
                <w:color w:val="000000"/>
                <w:kern w:val="0"/>
                <w:sz w:val="24"/>
                <w:szCs w:val="22"/>
                <w:highlight w:val="none"/>
              </w:rPr>
              <w:t>年内无违反</w:t>
            </w:r>
            <w:r>
              <w:rPr>
                <w:rFonts w:hint="eastAsia" w:ascii="仿宋_GB2312" w:hAnsi="仿宋_GB2312" w:eastAsia="仿宋_GB2312" w:cs="仿宋_GB2312"/>
                <w:color w:val="000000"/>
                <w:kern w:val="0"/>
                <w:sz w:val="24"/>
                <w:szCs w:val="22"/>
                <w:highlight w:val="none"/>
                <w:lang w:eastAsia="zh-CN"/>
              </w:rPr>
              <w:t>药品管理、</w:t>
            </w:r>
            <w:r>
              <w:rPr>
                <w:rFonts w:hint="eastAsia" w:ascii="仿宋_GB2312" w:hAnsi="仿宋_GB2312" w:eastAsia="仿宋_GB2312" w:cs="仿宋_GB2312"/>
                <w:color w:val="000000"/>
                <w:kern w:val="0"/>
                <w:sz w:val="24"/>
                <w:szCs w:val="22"/>
                <w:highlight w:val="none"/>
              </w:rPr>
              <w:t>禁毒</w:t>
            </w:r>
            <w:r>
              <w:rPr>
                <w:rFonts w:hint="eastAsia" w:ascii="仿宋_GB2312" w:hAnsi="仿宋_GB2312" w:eastAsia="仿宋_GB2312" w:cs="仿宋_GB2312"/>
                <w:color w:val="000000"/>
                <w:kern w:val="0"/>
                <w:sz w:val="24"/>
                <w:szCs w:val="22"/>
                <w:highlight w:val="none"/>
                <w:lang w:eastAsia="zh-CN"/>
              </w:rPr>
              <w:t>等</w:t>
            </w:r>
            <w:r>
              <w:rPr>
                <w:rFonts w:hint="eastAsia" w:ascii="仿宋_GB2312" w:hAnsi="仿宋_GB2312" w:eastAsia="仿宋_GB2312" w:cs="仿宋_GB2312"/>
                <w:color w:val="000000"/>
                <w:kern w:val="0"/>
                <w:sz w:val="24"/>
                <w:szCs w:val="22"/>
                <w:highlight w:val="none"/>
              </w:rPr>
              <w:t>法律法规</w:t>
            </w:r>
            <w:r>
              <w:rPr>
                <w:rFonts w:hint="eastAsia" w:ascii="仿宋_GB2312" w:hAnsi="仿宋_GB2312" w:eastAsia="仿宋_GB2312" w:cs="仿宋_GB2312"/>
                <w:color w:val="000000"/>
                <w:kern w:val="0"/>
                <w:sz w:val="24"/>
                <w:szCs w:val="22"/>
                <w:highlight w:val="none"/>
                <w:lang w:eastAsia="zh-CN"/>
              </w:rPr>
              <w:t>规章</w:t>
            </w:r>
            <w:r>
              <w:rPr>
                <w:rFonts w:hint="eastAsia" w:ascii="仿宋_GB2312" w:hAnsi="仿宋_GB2312" w:eastAsia="仿宋_GB2312" w:cs="仿宋_GB2312"/>
                <w:color w:val="000000"/>
                <w:kern w:val="0"/>
                <w:sz w:val="24"/>
                <w:szCs w:val="22"/>
                <w:highlight w:val="none"/>
              </w:rPr>
              <w:t>规定的行为。</w:t>
            </w:r>
          </w:p>
        </w:tc>
      </w:tr>
      <w:tr w14:paraId="1ED4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37EE7976">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104</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3FF65549">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企业法定代表人、主要负责人应了解麻醉药品和第一类精神药品管理法规的基本原则和要求。</w:t>
            </w:r>
          </w:p>
        </w:tc>
      </w:tr>
      <w:tr w14:paraId="1627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7D12CDE2">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105</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60DB36E9">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应配备专人负责麻醉药品和第一类精神药品的经营管理。</w:t>
            </w:r>
          </w:p>
        </w:tc>
      </w:tr>
      <w:tr w14:paraId="1633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49BA707D">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106</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77874624">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麻醉药品和第一类精神药品</w:t>
            </w:r>
            <w:r>
              <w:rPr>
                <w:rFonts w:hint="eastAsia" w:ascii="仿宋_GB2312" w:hAnsi="仿宋_GB2312" w:eastAsia="仿宋_GB2312" w:cs="仿宋_GB2312"/>
                <w:color w:val="000000"/>
                <w:sz w:val="24"/>
                <w:szCs w:val="28"/>
                <w:highlight w:val="none"/>
              </w:rPr>
              <w:t>管理人员和直接业务人员</w:t>
            </w:r>
            <w:r>
              <w:rPr>
                <w:rFonts w:hint="eastAsia" w:ascii="仿宋_GB2312" w:hAnsi="仿宋_GB2312" w:eastAsia="仿宋_GB2312" w:cs="仿宋_GB2312"/>
                <w:color w:val="000000"/>
                <w:kern w:val="0"/>
                <w:sz w:val="24"/>
                <w:szCs w:val="22"/>
                <w:highlight w:val="none"/>
              </w:rPr>
              <w:t>应熟悉麻醉药品和第一类精神药品相关知识和管理法律法规</w:t>
            </w:r>
            <w:r>
              <w:rPr>
                <w:rFonts w:hint="eastAsia" w:ascii="仿宋_GB2312" w:hAnsi="仿宋_GB2312" w:eastAsia="仿宋_GB2312" w:cs="仿宋_GB2312"/>
                <w:color w:val="000000"/>
                <w:sz w:val="24"/>
                <w:szCs w:val="28"/>
                <w:highlight w:val="none"/>
              </w:rPr>
              <w:t>，并相对稳定</w:t>
            </w:r>
            <w:r>
              <w:rPr>
                <w:rFonts w:hint="eastAsia" w:ascii="仿宋_GB2312" w:hAnsi="仿宋_GB2312" w:eastAsia="仿宋_GB2312" w:cs="仿宋_GB2312"/>
                <w:color w:val="000000"/>
                <w:kern w:val="0"/>
                <w:sz w:val="24"/>
                <w:szCs w:val="22"/>
                <w:highlight w:val="none"/>
              </w:rPr>
              <w:t>。</w:t>
            </w:r>
          </w:p>
        </w:tc>
      </w:tr>
      <w:tr w14:paraId="0993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3C209C36">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107</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4395446F">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sz w:val="24"/>
                <w:szCs w:val="28"/>
                <w:highlight w:val="none"/>
              </w:rPr>
              <w:t>应建立麻醉药品和第一类精神药品管理人员和直接业务人员培训制度，每年相关业务培训不少于10学时。</w:t>
            </w:r>
          </w:p>
        </w:tc>
      </w:tr>
      <w:tr w14:paraId="7FDA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212EA1DE">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*108</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437450AC">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sz w:val="24"/>
                <w:szCs w:val="28"/>
                <w:highlight w:val="none"/>
              </w:rPr>
              <w:t>企业近</w:t>
            </w:r>
            <w:r>
              <w:rPr>
                <w:rFonts w:hint="eastAsia" w:ascii="仿宋_GB2312" w:hAnsi="仿宋_GB2312" w:eastAsia="仿宋_GB2312" w:cs="仿宋_GB2312"/>
                <w:color w:val="000000"/>
                <w:sz w:val="24"/>
                <w:szCs w:val="28"/>
                <w:highlight w:val="none"/>
                <w:lang w:val="en-US" w:eastAsia="zh-CN"/>
              </w:rPr>
              <w:t>2</w:t>
            </w:r>
            <w:r>
              <w:rPr>
                <w:rFonts w:hint="eastAsia" w:ascii="仿宋_GB2312" w:hAnsi="仿宋_GB2312" w:eastAsia="仿宋_GB2312" w:cs="仿宋_GB2312"/>
                <w:color w:val="000000"/>
                <w:sz w:val="24"/>
                <w:szCs w:val="28"/>
                <w:highlight w:val="none"/>
              </w:rPr>
              <w:t>年内未因违规经营假劣药品受到行政处罚</w:t>
            </w:r>
            <w:r>
              <w:rPr>
                <w:rFonts w:hint="eastAsia" w:ascii="仿宋_GB2312" w:hAnsi="仿宋_GB2312" w:eastAsia="仿宋_GB2312" w:cs="仿宋_GB2312"/>
                <w:color w:val="000000"/>
                <w:sz w:val="24"/>
                <w:szCs w:val="28"/>
                <w:highlight w:val="none"/>
                <w:lang w:eastAsia="zh-CN"/>
              </w:rPr>
              <w:t>（</w:t>
            </w:r>
            <w:r>
              <w:rPr>
                <w:rFonts w:hint="eastAsia" w:ascii="仿宋_GB2312" w:hAnsi="仿宋_GB2312" w:eastAsia="仿宋_GB2312" w:cs="仿宋_GB2312"/>
                <w:color w:val="000000"/>
                <w:sz w:val="24"/>
                <w:szCs w:val="28"/>
                <w:highlight w:val="none"/>
                <w:lang w:val="en-US" w:eastAsia="zh-CN"/>
              </w:rPr>
              <w:t>法律法规另有规定的除外</w:t>
            </w:r>
            <w:r>
              <w:rPr>
                <w:rFonts w:hint="eastAsia" w:ascii="仿宋_GB2312" w:hAnsi="仿宋_GB2312" w:eastAsia="仿宋_GB2312" w:cs="仿宋_GB2312"/>
                <w:color w:val="000000"/>
                <w:sz w:val="24"/>
                <w:szCs w:val="28"/>
                <w:highlight w:val="none"/>
                <w:lang w:eastAsia="zh-CN"/>
              </w:rPr>
              <w:t>）</w:t>
            </w:r>
            <w:r>
              <w:rPr>
                <w:rFonts w:hint="eastAsia" w:ascii="仿宋_GB2312" w:hAnsi="仿宋_GB2312" w:eastAsia="仿宋_GB2312" w:cs="仿宋_GB2312"/>
                <w:color w:val="000000"/>
                <w:sz w:val="24"/>
                <w:szCs w:val="28"/>
                <w:highlight w:val="none"/>
              </w:rPr>
              <w:t>。</w:t>
            </w:r>
          </w:p>
        </w:tc>
      </w:tr>
      <w:tr w14:paraId="44BD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812" w:type="dxa"/>
            <w:gridSpan w:val="2"/>
            <w:tcBorders>
              <w:top w:val="single" w:color="auto" w:sz="4" w:space="0"/>
              <w:left w:val="single" w:color="auto" w:sz="4" w:space="0"/>
              <w:bottom w:val="single" w:color="auto" w:sz="4" w:space="0"/>
              <w:right w:val="single" w:color="auto" w:sz="4" w:space="0"/>
            </w:tcBorders>
            <w:noWrap w:val="0"/>
            <w:vAlign w:val="center"/>
          </w:tcPr>
          <w:p w14:paraId="08C1F3C2">
            <w:pPr>
              <w:spacing w:beforeLines="0" w:afterLines="0" w:line="620" w:lineRule="exact"/>
              <w:ind w:left="0" w:right="0"/>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kern w:val="0"/>
                <w:sz w:val="28"/>
                <w:szCs w:val="28"/>
                <w:highlight w:val="none"/>
              </w:rPr>
              <w:t>二、储存管理</w:t>
            </w:r>
          </w:p>
        </w:tc>
      </w:tr>
      <w:tr w14:paraId="7725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0414275B">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*209</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05404890">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企业应设置麻醉药品和第一类精神药品专用仓库。</w:t>
            </w:r>
          </w:p>
        </w:tc>
      </w:tr>
      <w:tr w14:paraId="0FE6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68C91DAA">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*210</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0508B121">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专用仓库应安装监控设施和自动报警系统，报警装置应与当地公安部门报警系统联网。</w:t>
            </w:r>
          </w:p>
        </w:tc>
      </w:tr>
      <w:tr w14:paraId="7BBC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0C9979D4">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*211</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75589EDC">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专用仓库应实施双人双锁管理，具有相应的防火设施。</w:t>
            </w:r>
          </w:p>
        </w:tc>
      </w:tr>
      <w:tr w14:paraId="13A3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199E8270">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212</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3806B070">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专用仓库产权应为企业所有或者签订有5年以上租赁合同，仓库面积和布局应与经营品种相适应。</w:t>
            </w:r>
          </w:p>
        </w:tc>
      </w:tr>
      <w:tr w14:paraId="78BD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0E00DE98">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213</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7EB4C160">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按照品种建立有储存麻醉药品和第一类精神药品的专用账册，内容包含：购进日期、购进企业、药品名称、规格、批号、购进数量、销售日期、销售单位、销售数量、结存数量等，并按规定时间保存至药品有效期满后5年。</w:t>
            </w:r>
          </w:p>
        </w:tc>
      </w:tr>
      <w:tr w14:paraId="1ABE0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7B091C1C">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*214</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3D196F8B">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应建立麻醉药品和第一类精神药品库管制度，确保入库双人验收，出库双人复核，做到账</w:t>
            </w:r>
            <w:r>
              <w:rPr>
                <w:rFonts w:hint="eastAsia" w:ascii="仿宋_GB2312" w:hAnsi="仿宋_GB2312" w:eastAsia="仿宋_GB2312" w:cs="仿宋_GB2312"/>
                <w:color w:val="000000"/>
                <w:kern w:val="0"/>
                <w:sz w:val="24"/>
                <w:szCs w:val="22"/>
                <w:highlight w:val="none"/>
                <w:lang w:eastAsia="zh-CN"/>
              </w:rPr>
              <w:t>货</w:t>
            </w:r>
            <w:r>
              <w:rPr>
                <w:rFonts w:hint="eastAsia" w:ascii="仿宋_GB2312" w:hAnsi="仿宋_GB2312" w:eastAsia="仿宋_GB2312" w:cs="仿宋_GB2312"/>
                <w:color w:val="000000"/>
                <w:kern w:val="0"/>
                <w:sz w:val="24"/>
                <w:szCs w:val="22"/>
                <w:highlight w:val="none"/>
              </w:rPr>
              <w:t>相符。</w:t>
            </w:r>
          </w:p>
        </w:tc>
      </w:tr>
      <w:tr w14:paraId="10734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4EF877E7">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215</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69369A14">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应建立麻醉药品和第一类精神药品储存、安全管理、丢失、被盗案件报告、24小时值班等管理制度，内容应全面、具有可操作性、符合相关规定，记录内容和格式应全面、合理。</w:t>
            </w:r>
          </w:p>
        </w:tc>
      </w:tr>
      <w:tr w14:paraId="0E29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1D8BA608">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216</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572A5B6F">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应有独立的办理入库和出库手续用的专用单据，单据内容应包含：出入库日期、购进和销售单位、药品名称、规格、批号、数量、经手人、复核人签字等。</w:t>
            </w:r>
          </w:p>
        </w:tc>
      </w:tr>
      <w:tr w14:paraId="2945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669967A3">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217</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5D5C3B53">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应建立有麻醉药品和第一类精神药品销毁制度，对过期、损坏的麻醉药品和第一类精神药品登记造册，及时依法销毁处置。</w:t>
            </w:r>
          </w:p>
        </w:tc>
      </w:tr>
      <w:tr w14:paraId="412B8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812" w:type="dxa"/>
            <w:gridSpan w:val="2"/>
            <w:tcBorders>
              <w:top w:val="single" w:color="auto" w:sz="4" w:space="0"/>
              <w:left w:val="single" w:color="auto" w:sz="4" w:space="0"/>
              <w:bottom w:val="single" w:color="auto" w:sz="4" w:space="0"/>
              <w:right w:val="single" w:color="auto" w:sz="4" w:space="0"/>
            </w:tcBorders>
            <w:noWrap w:val="0"/>
            <w:vAlign w:val="center"/>
          </w:tcPr>
          <w:p w14:paraId="7A33AEF3">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kern w:val="0"/>
                <w:sz w:val="28"/>
                <w:szCs w:val="28"/>
                <w:highlight w:val="none"/>
              </w:rPr>
              <w:t>三、购入和销售管理</w:t>
            </w:r>
          </w:p>
        </w:tc>
      </w:tr>
      <w:tr w14:paraId="4A14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4B5A7B84">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*318</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4CC7EB24">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应建立麻醉药品和第一类精神药品购进、验收、销售管理制度，内容应全面、具有可操作性，符合相关规定，同时明确供药范围，保证供药职责。</w:t>
            </w:r>
          </w:p>
        </w:tc>
      </w:tr>
      <w:tr w14:paraId="5ED5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5B973AF0">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319</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21F5E7DA">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应制定医疗机构审计制度，建立医疗机构的供药档案。</w:t>
            </w:r>
          </w:p>
        </w:tc>
      </w:tr>
      <w:tr w14:paraId="2794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110FF0BB">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*320</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4D0F7B1A">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应具备向供药责任区内医疗机构和其他购药单位安全及时运输麻醉药品和第一类精神药品的能力。</w:t>
            </w:r>
          </w:p>
        </w:tc>
      </w:tr>
      <w:tr w14:paraId="1638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1E2B1F61">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321</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2D1BF800">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应建立麻醉药品和第一类精神药品运输、邮寄管理制度，内容应全面、具有可操作性、符合相关规定。</w:t>
            </w:r>
          </w:p>
        </w:tc>
      </w:tr>
      <w:tr w14:paraId="583A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3D6BB955">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*322</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0E260207">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应明确相对固定的麻醉药品和第一类精神药品运输方式和人员，由专人负责押运，实行双人收发、双人记录，应有安全保障措施。</w:t>
            </w:r>
          </w:p>
        </w:tc>
      </w:tr>
      <w:tr w14:paraId="4A21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7654239C">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323</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252C3F3B">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spacing w:val="-4"/>
                <w:kern w:val="0"/>
                <w:sz w:val="24"/>
                <w:szCs w:val="22"/>
                <w:highlight w:val="none"/>
              </w:rPr>
              <w:t>麻醉药品和第一类精神药品购进、验收、销售管理记录内容和格式应全面、合理</w:t>
            </w:r>
            <w:r>
              <w:rPr>
                <w:rFonts w:hint="eastAsia" w:ascii="仿宋_GB2312" w:hAnsi="仿宋_GB2312" w:eastAsia="仿宋_GB2312" w:cs="仿宋_GB2312"/>
                <w:color w:val="000000"/>
                <w:kern w:val="0"/>
                <w:sz w:val="24"/>
                <w:szCs w:val="22"/>
                <w:highlight w:val="none"/>
              </w:rPr>
              <w:t>。</w:t>
            </w:r>
          </w:p>
        </w:tc>
      </w:tr>
      <w:tr w14:paraId="4909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31317037">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*324</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75CCEE0F">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销售制度应明确：销售麻醉药品和第一类精神药品时应当核实并记录企业或单位资质文件、采购人员身份证明、</w:t>
            </w:r>
            <w:r>
              <w:rPr>
                <w:rFonts w:hint="eastAsia" w:ascii="仿宋_GB2312" w:hAnsi="仿宋_GB2312" w:eastAsia="仿宋_GB2312" w:cs="仿宋_GB2312"/>
                <w:color w:val="000000"/>
                <w:kern w:val="0"/>
                <w:sz w:val="24"/>
                <w:szCs w:val="22"/>
                <w:highlight w:val="none"/>
                <w:lang w:eastAsia="zh-CN"/>
              </w:rPr>
              <w:t>法定代表人</w:t>
            </w:r>
            <w:r>
              <w:rPr>
                <w:rFonts w:hint="eastAsia" w:ascii="仿宋_GB2312" w:hAnsi="仿宋_GB2312" w:eastAsia="仿宋_GB2312" w:cs="仿宋_GB2312"/>
                <w:color w:val="000000"/>
                <w:kern w:val="0"/>
                <w:sz w:val="24"/>
                <w:szCs w:val="22"/>
                <w:highlight w:val="none"/>
              </w:rPr>
              <w:t>委托书，确认身份无误后方可销售。</w:t>
            </w:r>
          </w:p>
        </w:tc>
      </w:tr>
      <w:tr w14:paraId="7C61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1763ABBE">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*325</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1708E496">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sz w:val="24"/>
                <w:szCs w:val="22"/>
                <w:highlight w:val="none"/>
              </w:rPr>
              <w:t>应按规定加入特殊药品信息报告系统，有通过网络实施企业安全管理和向药品监督管理部门或其指定机构报送经营信息的能力。</w:t>
            </w:r>
          </w:p>
        </w:tc>
      </w:tr>
      <w:tr w14:paraId="44A8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812" w:type="dxa"/>
            <w:gridSpan w:val="2"/>
            <w:tcBorders>
              <w:top w:val="single" w:color="auto" w:sz="4" w:space="0"/>
              <w:left w:val="single" w:color="auto" w:sz="4" w:space="0"/>
              <w:bottom w:val="single" w:color="auto" w:sz="4" w:space="0"/>
              <w:right w:val="single" w:color="auto" w:sz="4" w:space="0"/>
            </w:tcBorders>
            <w:noWrap w:val="0"/>
            <w:vAlign w:val="center"/>
          </w:tcPr>
          <w:p w14:paraId="42E4E295">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b/>
                <w:bCs/>
                <w:color w:val="000000"/>
                <w:kern w:val="0"/>
                <w:sz w:val="28"/>
                <w:szCs w:val="28"/>
                <w:highlight w:val="none"/>
              </w:rPr>
              <w:t>四、安全管理</w:t>
            </w:r>
          </w:p>
        </w:tc>
      </w:tr>
      <w:tr w14:paraId="6534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55622397">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426</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6BA38284">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应建立对本单位安全经营的评价机制，定期开展安全制度执行情况自检，并进行及时整改。自检应有记录，记录内容应真实，符合规定。</w:t>
            </w:r>
          </w:p>
        </w:tc>
      </w:tr>
      <w:tr w14:paraId="1C96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5D2ACE90">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427</w:t>
            </w:r>
          </w:p>
        </w:tc>
        <w:tc>
          <w:tcPr>
            <w:tcW w:w="7852" w:type="dxa"/>
            <w:tcBorders>
              <w:top w:val="single" w:color="auto" w:sz="4" w:space="0"/>
              <w:left w:val="single" w:color="auto" w:sz="4" w:space="0"/>
              <w:bottom w:val="single" w:color="auto" w:sz="4" w:space="0"/>
              <w:right w:val="single" w:color="auto" w:sz="4" w:space="0"/>
            </w:tcBorders>
            <w:noWrap w:val="0"/>
            <w:vAlign w:val="top"/>
          </w:tcPr>
          <w:p w14:paraId="4BD8E980">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应建立定期对安全设施、设备进行检查、保养和维护的制度，并有详细记录。</w:t>
            </w:r>
          </w:p>
        </w:tc>
      </w:tr>
      <w:tr w14:paraId="062D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18ACEB29">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*428</w:t>
            </w:r>
          </w:p>
        </w:tc>
        <w:tc>
          <w:tcPr>
            <w:tcW w:w="7852" w:type="dxa"/>
            <w:tcBorders>
              <w:top w:val="single" w:color="auto" w:sz="4" w:space="0"/>
              <w:left w:val="single" w:color="auto" w:sz="4" w:space="0"/>
              <w:bottom w:val="single" w:color="auto" w:sz="4" w:space="0"/>
              <w:right w:val="single" w:color="auto" w:sz="4" w:space="0"/>
            </w:tcBorders>
            <w:noWrap w:val="0"/>
            <w:vAlign w:val="center"/>
          </w:tcPr>
          <w:p w14:paraId="4C7B2618">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应按规定对所经营的麻醉药品和第一类精神药品的质量进行管理。</w:t>
            </w:r>
          </w:p>
        </w:tc>
      </w:tr>
      <w:tr w14:paraId="6868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5301E69F">
            <w:pPr>
              <w:spacing w:beforeLines="0" w:afterLines="0" w:line="620" w:lineRule="exact"/>
              <w:jc w:val="center"/>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429</w:t>
            </w:r>
          </w:p>
        </w:tc>
        <w:tc>
          <w:tcPr>
            <w:tcW w:w="7852" w:type="dxa"/>
            <w:tcBorders>
              <w:top w:val="single" w:color="auto" w:sz="4" w:space="0"/>
              <w:left w:val="single" w:color="auto" w:sz="4" w:space="0"/>
              <w:bottom w:val="single" w:color="auto" w:sz="4" w:space="0"/>
              <w:right w:val="single" w:color="auto" w:sz="4" w:space="0"/>
            </w:tcBorders>
            <w:noWrap w:val="0"/>
            <w:vAlign w:val="center"/>
          </w:tcPr>
          <w:p w14:paraId="5B495091">
            <w:pPr>
              <w:spacing w:beforeLines="0" w:afterLines="0" w:line="620" w:lineRule="exact"/>
              <w:jc w:val="left"/>
              <w:rPr>
                <w:rFonts w:hint="eastAsia" w:ascii="仿宋_GB2312" w:hAnsi="仿宋_GB2312" w:eastAsia="仿宋_GB2312" w:cs="仿宋_GB2312"/>
                <w:color w:val="000000"/>
                <w:kern w:val="0"/>
                <w:sz w:val="24"/>
                <w:szCs w:val="22"/>
                <w:highlight w:val="none"/>
              </w:rPr>
            </w:pPr>
            <w:r>
              <w:rPr>
                <w:rFonts w:hint="eastAsia" w:ascii="仿宋_GB2312" w:hAnsi="仿宋_GB2312" w:eastAsia="仿宋_GB2312" w:cs="仿宋_GB2312"/>
                <w:color w:val="000000"/>
                <w:kern w:val="0"/>
                <w:sz w:val="24"/>
                <w:szCs w:val="22"/>
                <w:highlight w:val="none"/>
              </w:rPr>
              <w:t>应建立安全管理制度，发生被盗、被抢、丢失或者其他流入非法渠道情形的，应采取必要控制措施，按规定及时报告所在地县级公安机关和药监部门。</w:t>
            </w:r>
          </w:p>
        </w:tc>
      </w:tr>
    </w:tbl>
    <w:p w14:paraId="1AA0B9A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6244C"/>
    <w:rsid w:val="3DD62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2025-11-12T03:16:00Z</dcterms:created>
  <dc:creator>杨思明</dc:creator>
  <cp:lastModifiedBy>杨思明</cp:lastModifiedBy>
  <dcterms:modified xsi:type="dcterms:W3CDTF">2025-11-12T03:17:19Z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00F3FECD353849E4A7BF39B658BD6098_11</vt:lpwstr>
  </property>
  <property fmtid="{D5CDD505-2E9C-101B-9397-08002B2CF9AE}" pid="4" name="KSOTemplateDocerSaveRecord">
    <vt:lpwstr>eyJoZGlkIjoiNmZhOTFiMjUyM2Q1NjQ0Yjk2YjJjZDczMWI5N2Y4ZDIiLCJ1c2VySWQiOiI1NTU4MTkyOTcifQ==</vt:lpwstr>
  </property>
</Properties>
</file>