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49359">
      <w:pPr>
        <w:keepNext w:val="0"/>
        <w:keepLines w:val="0"/>
        <w:pageBreakBefore w:val="0"/>
        <w:widowControl w:val="0"/>
        <w:suppressAutoHyphens/>
        <w:kinsoku/>
        <w:wordWrap/>
        <w:overflowPunct w:val="0"/>
        <w:topLinePunct w:val="0"/>
        <w:autoSpaceDE/>
        <w:autoSpaceDN/>
        <w:bidi w:val="0"/>
        <w:adjustRightInd/>
        <w:snapToGrid/>
        <w:spacing w:line="560" w:lineRule="exact"/>
        <w:jc w:val="left"/>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3</w:t>
      </w:r>
    </w:p>
    <w:p w14:paraId="69E5851F">
      <w:pPr>
        <w:keepNext w:val="0"/>
        <w:keepLines w:val="0"/>
        <w:pageBreakBefore w:val="0"/>
        <w:widowControl w:val="0"/>
        <w:suppressAutoHyphens/>
        <w:kinsoku/>
        <w:wordWrap/>
        <w:overflowPunct w:val="0"/>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《四川省药品上市后变更管理实施细则</w:t>
      </w:r>
    </w:p>
    <w:p w14:paraId="47015697">
      <w:pPr>
        <w:keepNext w:val="0"/>
        <w:keepLines w:val="0"/>
        <w:pageBreakBefore w:val="0"/>
        <w:widowControl w:val="0"/>
        <w:suppressAutoHyphens/>
        <w:kinsoku/>
        <w:wordWrap/>
        <w:overflowPunct w:val="0"/>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（修订征求意见稿）》起草说明</w:t>
      </w:r>
    </w:p>
    <w:p w14:paraId="75956DFF">
      <w:pPr>
        <w:keepNext w:val="0"/>
        <w:keepLines w:val="0"/>
        <w:pageBreakBefore w:val="0"/>
        <w:widowControl w:val="0"/>
        <w:suppressAutoHyphens/>
        <w:kinsoku/>
        <w:wordWrap/>
        <w:overflowPunct w:val="0"/>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sz w:val="32"/>
          <w:szCs w:val="32"/>
          <w:lang w:eastAsia="zh-CN"/>
        </w:rPr>
      </w:pPr>
    </w:p>
    <w:p w14:paraId="0B761725">
      <w:pPr>
        <w:keepNext w:val="0"/>
        <w:keepLines w:val="0"/>
        <w:pageBreakBefore w:val="0"/>
        <w:widowControl w:val="0"/>
        <w:suppressAutoHyphens/>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lang w:eastAsia="zh-CN"/>
        </w:rPr>
        <w:t>一、起草背景</w:t>
      </w:r>
    </w:p>
    <w:p w14:paraId="7A2586C4">
      <w:pPr>
        <w:keepNext w:val="0"/>
        <w:keepLines w:val="0"/>
        <w:pageBreakBefore w:val="0"/>
        <w:widowControl w:val="0"/>
        <w:suppressAutoHyphens/>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现行《四川省药品上市后变更管理实施细则（试行）》实施（以下简称 2021 版实施细）已有近4年时间。自实施以来，为我省规范药品上市后变更办理程序和审查要求等提供了依据并发挥了重要的指导作用，也进一步强化了我省持有人药品上市后变更管理主体责任。近年来，国家局持续完善持有人监管工作的相关法律法规，于2023年发布了《关于加强药品上市许可持有人委托生产监督管理工作的公告》（2023 年第 132 号），进一步规范了持有人委托生产的许可变更、生产及监管等行为。细则实施以来，在实际运行过程中也存在一定的办理时限差异等问题。为更好贯彻落实国家局有关规定，需进一步优化规范相关办理程序和工作要求，对 2021 版实施细进行修订。</w:t>
      </w:r>
    </w:p>
    <w:p w14:paraId="097E463E">
      <w:pPr>
        <w:keepNext w:val="0"/>
        <w:keepLines w:val="0"/>
        <w:pageBreakBefore w:val="0"/>
        <w:widowControl w:val="0"/>
        <w:suppressAutoHyphens/>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二、修订的主要考虑</w:t>
      </w:r>
    </w:p>
    <w:p w14:paraId="0318C673">
      <w:pPr>
        <w:keepNext w:val="0"/>
        <w:keepLines w:val="0"/>
        <w:pageBreakBefore w:val="0"/>
        <w:widowControl w:val="0"/>
        <w:suppressAutoHyphens/>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2021 版实施细是省药监局发布的规范性文件，指导监管部门、申请人、审评审批部门更好的开展上市后变更相关工作，是上市后变更有关事项的办理和相关监管工作的依据。修订的主要考虑如下：</w:t>
      </w:r>
    </w:p>
    <w:p w14:paraId="7EE66958">
      <w:pPr>
        <w:keepNext w:val="0"/>
        <w:keepLines w:val="0"/>
        <w:pageBreakBefore w:val="0"/>
        <w:widowControl w:val="0"/>
        <w:suppressAutoHyphens/>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一是严格落实法规要求，做好与现行新的法律法规及规范性文件要求的有效衔接。</w:t>
      </w:r>
    </w:p>
    <w:p w14:paraId="64790A94">
      <w:pPr>
        <w:keepNext w:val="0"/>
        <w:keepLines w:val="0"/>
        <w:pageBreakBefore w:val="0"/>
        <w:widowControl w:val="0"/>
        <w:suppressAutoHyphens/>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二是进一步明确责任分工，确保上市后变更监管工作落到实处。</w:t>
      </w:r>
    </w:p>
    <w:p w14:paraId="643712B6">
      <w:pPr>
        <w:keepNext w:val="0"/>
        <w:keepLines w:val="0"/>
        <w:pageBreakBefore w:val="0"/>
        <w:widowControl w:val="0"/>
        <w:suppressAutoHyphens/>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三是结合运行实际，持续优化事项办理程序，切实提升审评审批服务效能。</w:t>
      </w:r>
    </w:p>
    <w:p w14:paraId="27B3A472">
      <w:pPr>
        <w:keepNext w:val="0"/>
        <w:keepLines w:val="0"/>
        <w:pageBreakBefore w:val="0"/>
        <w:widowControl w:val="0"/>
        <w:suppressAutoHyphens/>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lang w:eastAsia="zh-CN"/>
        </w:rPr>
        <w:t>三、主要内容</w:t>
      </w:r>
    </w:p>
    <w:p w14:paraId="2FAF5DF9">
      <w:pPr>
        <w:keepNext w:val="0"/>
        <w:keepLines w:val="0"/>
        <w:pageBreakBefore w:val="0"/>
        <w:widowControl w:val="0"/>
        <w:suppressAutoHyphens/>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四川省药品上市后变更管理实施细则（修订征求意见稿）》（以下简称《实施细则修订征求意见稿》）分为总则、变更管理类别沟通交流程序、注册变更备案管理程序、药品生产场地变更管理、变更事项的监督管理、附则6个章节，30个条款。与2021版相比，本次修订删除了原文第二十四条，对部分条款内容进行了修订，其余均未发生变化。</w:t>
      </w:r>
    </w:p>
    <w:p w14:paraId="7316B847">
      <w:pPr>
        <w:keepNext w:val="0"/>
        <w:keepLines w:val="0"/>
        <w:pageBreakBefore w:val="0"/>
        <w:widowControl w:val="0"/>
        <w:suppressAutoHyphens/>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四、需要说明的问题</w:t>
      </w:r>
    </w:p>
    <w:p w14:paraId="5CA10B7C">
      <w:pPr>
        <w:keepNext w:val="0"/>
        <w:keepLines w:val="0"/>
        <w:pageBreakBefore w:val="0"/>
        <w:widowControl w:val="0"/>
        <w:suppressAutoHyphens/>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（一）进一步明确相关工作职责。将第五条省食品药品审查评价及安全监测中心承担的审核工作进行调整，调整为按职责分工负责对高风险品种变更备案资料的审查工作。</w:t>
      </w:r>
    </w:p>
    <w:p w14:paraId="41E24392">
      <w:pPr>
        <w:keepNext w:val="0"/>
        <w:keepLines w:val="0"/>
        <w:pageBreakBefore w:val="0"/>
        <w:widowControl w:val="0"/>
        <w:suppressAutoHyphens/>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优化沟通交流形式。将原有的变更管理类别沟通交流形式，由单一的会议沟通交流形式调整为结合变更类别的实际情况必要时采用会议形式开展，体现了差异化管理，更好的提高沟通工作效率，节约沟通工作成本。</w:t>
      </w:r>
    </w:p>
    <w:p w14:paraId="68268B28">
      <w:pPr>
        <w:keepNext w:val="0"/>
        <w:keepLines w:val="0"/>
        <w:pageBreakBefore w:val="0"/>
        <w:widowControl w:val="0"/>
        <w:suppressAutoHyphens/>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（三）场地变更事项申报程序发生调整。2021 版实施细则第十八条将《药品生产许可证》变更申请、药品生产质量管理规范符合性检查以及生产场地变更产品研究资料捆绑一起提交办理。但在实际实施过程中，因生产场地变更技术审评合并注册现场核查办理时限多于许可事项和药品符合性检查事项的办理时限，导致无法同步完成审批。因此结合实际和企业反应诉求在此次修订稿中将上述事项分别受理，后续省局将一并调整相关办事指南。</w:t>
      </w:r>
    </w:p>
    <w:p w14:paraId="764FD27A">
      <w:pPr>
        <w:keepNext w:val="0"/>
        <w:keepLines w:val="0"/>
        <w:pageBreakBefore w:val="0"/>
        <w:widowControl w:val="0"/>
        <w:suppressAutoHyphens/>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四）规范生物制品场地变更办理程序。生物制品药品生产场地变更事项应按照新的规范性文件《国家药监局关于加强药品上市许可持有人委托生产监督管理工作的公告》（2023年第132号）第（四）条和（二十一）条要求，办理相关许可变更和开展场地变更研究工作。因此在修订中删除了原 2021 版实施细则中的第二十四条，不再单独强调。</w:t>
      </w:r>
    </w:p>
    <w:p w14:paraId="3CA3606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032371"/>
    <w:rsid w:val="6F032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unhideWhenUsed/>
    <w:qFormat/>
    <w:uiPriority w:val="99"/>
    <w:pPr>
      <w:widowControl w:val="0"/>
      <w:suppressAutoHyphens/>
      <w:bidi w:val="0"/>
      <w:ind w:firstLine="420" w:firstLineChars="200"/>
      <w:jc w:val="both"/>
    </w:pPr>
    <w:rPr>
      <w:rFonts w:ascii="Calibri" w:hAnsi="Calibri"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2026-01-09T06:48:00Z</dcterms:created>
  <dc:creator>杨思明</dc:creator>
  <cp:lastModifiedBy>杨思明</cp:lastModifiedBy>
  <dcterms:modified xsi:type="dcterms:W3CDTF">2026-01-09T06:48:26Z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25C5A5B0B0CC4CCBA7C4A831AEFDD871_11</vt:lpwstr>
  </property>
  <property fmtid="{D5CDD505-2E9C-101B-9397-08002B2CF9AE}" pid="4" name="KSOTemplateDocerSaveRecord">
    <vt:lpwstr>eyJoZGlkIjoiNmZhOTFiMjUyM2Q1NjQ0Yjk2YjJjZDczMWI5N2Y4ZDIiLCJ1c2VySWQiOiI1NTU4MTkyOTcifQ==</vt:lpwstr>
  </property>
</Properties>
</file>